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XSpec="center" w:tblpY="421"/>
        <w:tblW w:w="11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9"/>
      </w:tblGrid>
      <w:tr w:rsidR="00D22048" w14:paraId="41CB2061" w14:textId="77777777">
        <w:trPr>
          <w:trHeight w:val="2536"/>
        </w:trPr>
        <w:tc>
          <w:tcPr>
            <w:tcW w:w="11529" w:type="dxa"/>
          </w:tcPr>
          <w:p w14:paraId="1FD0BAD6" w14:textId="77777777" w:rsidR="00D22048" w:rsidRDefault="00000000">
            <w:pPr>
              <w:spacing w:after="0" w:line="240" w:lineRule="auto"/>
            </w:pPr>
            <w:bookmarkStart w:id="0" w:name="_Hlk181313826"/>
            <w:bookmarkEnd w:id="0"/>
            <w:r>
              <w:t xml:space="preserve">  </w:t>
            </w:r>
          </w:p>
          <w:tbl>
            <w:tblPr>
              <w:tblStyle w:val="TableGrid"/>
              <w:tblpPr w:leftFromText="180" w:rightFromText="180" w:vertAnchor="page" w:horzAnchor="margin" w:tblpXSpec="center" w:tblpY="421"/>
              <w:tblW w:w="11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3"/>
            </w:tblGrid>
            <w:tr w:rsidR="00D22048" w14:paraId="3F758068" w14:textId="77777777">
              <w:trPr>
                <w:trHeight w:val="1099"/>
              </w:trPr>
              <w:tc>
                <w:tcPr>
                  <w:tcW w:w="11313" w:type="dxa"/>
                </w:tcPr>
                <w:p w14:paraId="259C5C51" w14:textId="0BF5A2D6" w:rsidR="00D22048" w:rsidRDefault="00000000">
                  <w:pPr>
                    <w:pBdr>
                      <w:bottom w:val="single" w:sz="12" w:space="1" w:color="auto"/>
                    </w:pBdr>
                    <w:spacing w:after="0" w:line="240" w:lineRule="auto"/>
                    <w:ind w:left="-394"/>
                    <w:contextualSpacing/>
                    <w:jc w:val="right"/>
                    <w:rPr>
                      <w:sz w:val="24"/>
                      <w:szCs w:val="24"/>
                    </w:rPr>
                  </w:pPr>
                  <w:r>
                    <w:rPr>
                      <w:noProof/>
                      <w:sz w:val="24"/>
                      <w:szCs w:val="24"/>
                    </w:rPr>
                    <w:drawing>
                      <wp:inline distT="0" distB="0" distL="0" distR="0" wp14:anchorId="4ABDC5EF" wp14:editId="6D5F446D">
                        <wp:extent cx="7292340" cy="1050925"/>
                        <wp:effectExtent l="0" t="0" r="3810" b="0"/>
                        <wp:docPr id="6622595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59582" name="Picture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292340" cy="1050925"/>
                                </a:xfrm>
                                <a:prstGeom prst="rect">
                                  <a:avLst/>
                                </a:prstGeom>
                              </pic:spPr>
                            </pic:pic>
                          </a:graphicData>
                        </a:graphic>
                      </wp:inline>
                    </w:drawing>
                  </w:r>
                  <w:r>
                    <w:rPr>
                      <w:sz w:val="24"/>
                      <w:szCs w:val="24"/>
                    </w:rPr>
                    <w:tab/>
                  </w:r>
                  <w:r>
                    <w:rPr>
                      <w:sz w:val="24"/>
                      <w:szCs w:val="24"/>
                    </w:rPr>
                    <w:tab/>
                  </w:r>
                  <w:r>
                    <w:rPr>
                      <w:sz w:val="24"/>
                      <w:szCs w:val="24"/>
                    </w:rPr>
                    <w:tab/>
                  </w:r>
                  <w:r>
                    <w:rPr>
                      <w:sz w:val="24"/>
                      <w:szCs w:val="24"/>
                    </w:rPr>
                    <w:tab/>
                  </w:r>
                  <w:r>
                    <w:rPr>
                      <w:sz w:val="24"/>
                      <w:szCs w:val="24"/>
                    </w:rPr>
                    <w:tab/>
                    <w:t xml:space="preserve">                                    Vol 15, Issue </w:t>
                  </w:r>
                  <w:r w:rsidR="0019042C">
                    <w:rPr>
                      <w:sz w:val="24"/>
                      <w:szCs w:val="24"/>
                    </w:rPr>
                    <w:t>2</w:t>
                  </w:r>
                  <w:r>
                    <w:rPr>
                      <w:sz w:val="24"/>
                      <w:szCs w:val="24"/>
                    </w:rPr>
                    <w:t>, (2025) E-ISSN: 2222-6990</w:t>
                  </w:r>
                </w:p>
                <w:p w14:paraId="7A8E4838" w14:textId="77777777" w:rsidR="00D22048" w:rsidRDefault="00D22048">
                  <w:pPr>
                    <w:bidi/>
                    <w:spacing w:after="0" w:line="240" w:lineRule="auto"/>
                    <w:contextualSpacing/>
                    <w:rPr>
                      <w:sz w:val="16"/>
                      <w:szCs w:val="16"/>
                    </w:rPr>
                  </w:pPr>
                </w:p>
              </w:tc>
            </w:tr>
          </w:tbl>
          <w:p w14:paraId="19CBFD8F" w14:textId="77777777" w:rsidR="00D22048" w:rsidRDefault="00D22048">
            <w:pPr>
              <w:spacing w:after="0" w:line="240" w:lineRule="auto"/>
              <w:jc w:val="center"/>
            </w:pPr>
          </w:p>
        </w:tc>
      </w:tr>
    </w:tbl>
    <w:p w14:paraId="05C66F49" w14:textId="77777777" w:rsidR="00B23396" w:rsidRDefault="00B23396" w:rsidP="00B23396">
      <w:pPr>
        <w:spacing w:after="0" w:line="240" w:lineRule="auto"/>
        <w:jc w:val="center"/>
        <w:rPr>
          <w:rFonts w:ascii="Roboto" w:hAnsi="Roboto" w:cs="Calibri"/>
          <w:b/>
          <w:sz w:val="40"/>
          <w:szCs w:val="40"/>
          <w:lang w:val="en-MY"/>
        </w:rPr>
      </w:pPr>
      <w:bookmarkStart w:id="1" w:name="_nnbg7zct0riw" w:colFirst="0" w:colLast="0"/>
      <w:bookmarkStart w:id="2" w:name="_2l6sry89k151" w:colFirst="0" w:colLast="0"/>
      <w:bookmarkStart w:id="3" w:name="_3w28qzmfdoyv" w:colFirst="0" w:colLast="0"/>
      <w:bookmarkStart w:id="4" w:name="_Hlk189597354"/>
      <w:bookmarkStart w:id="5" w:name="_bookmark0"/>
      <w:bookmarkEnd w:id="1"/>
      <w:bookmarkEnd w:id="2"/>
      <w:bookmarkEnd w:id="3"/>
      <w:bookmarkEnd w:id="4"/>
      <w:bookmarkEnd w:id="5"/>
      <w:r w:rsidRPr="00B23396">
        <w:rPr>
          <w:rFonts w:ascii="Roboto" w:hAnsi="Roboto" w:cs="Calibri"/>
          <w:b/>
          <w:sz w:val="40"/>
          <w:szCs w:val="40"/>
          <w:lang w:val="en-MY"/>
        </w:rPr>
        <w:t>Enhancing the Sustainability of Waqf: A Thematic Review Exploration Across Financial, Social, and Environmental, Governance Dimensions</w:t>
      </w:r>
    </w:p>
    <w:p w14:paraId="08F9ED83" w14:textId="77777777" w:rsidR="00B23396" w:rsidRPr="00B23396" w:rsidRDefault="00B23396" w:rsidP="00B23396">
      <w:pPr>
        <w:spacing w:after="0" w:line="240" w:lineRule="auto"/>
        <w:jc w:val="center"/>
        <w:rPr>
          <w:rFonts w:ascii="Roboto" w:hAnsi="Roboto" w:cs="Calibri"/>
          <w:b/>
          <w:sz w:val="40"/>
          <w:szCs w:val="40"/>
          <w:lang w:val="en-MY"/>
        </w:rPr>
      </w:pPr>
    </w:p>
    <w:p w14:paraId="28A7FCB1" w14:textId="77777777" w:rsidR="00B23396" w:rsidRPr="00B23396" w:rsidRDefault="00B23396" w:rsidP="00B23396">
      <w:pPr>
        <w:spacing w:after="0" w:line="240" w:lineRule="auto"/>
        <w:jc w:val="center"/>
        <w:rPr>
          <w:rFonts w:ascii="Arial" w:hAnsi="Arial" w:cs="Arial"/>
          <w:bCs/>
          <w:sz w:val="32"/>
          <w:szCs w:val="32"/>
          <w:vertAlign w:val="superscript"/>
          <w:lang w:val="en-MY"/>
        </w:rPr>
      </w:pPr>
      <w:proofErr w:type="spellStart"/>
      <w:r w:rsidRPr="00B23396">
        <w:rPr>
          <w:rFonts w:ascii="Arial" w:hAnsi="Arial" w:cs="Arial"/>
          <w:bCs/>
          <w:sz w:val="32"/>
          <w:szCs w:val="32"/>
          <w:lang w:val="en-MY"/>
        </w:rPr>
        <w:t>Baharin</w:t>
      </w:r>
      <w:proofErr w:type="spellEnd"/>
      <w:r w:rsidRPr="00B23396">
        <w:rPr>
          <w:rFonts w:ascii="Arial" w:hAnsi="Arial" w:cs="Arial"/>
          <w:bCs/>
          <w:sz w:val="32"/>
          <w:szCs w:val="32"/>
          <w:lang w:val="en-MY"/>
        </w:rPr>
        <w:t>. N</w:t>
      </w:r>
      <w:r w:rsidRPr="00B23396">
        <w:rPr>
          <w:rFonts w:ascii="Arial" w:hAnsi="Arial" w:cs="Arial"/>
          <w:bCs/>
          <w:sz w:val="32"/>
          <w:szCs w:val="32"/>
          <w:vertAlign w:val="superscript"/>
          <w:lang w:val="en-MY"/>
        </w:rPr>
        <w:t>a</w:t>
      </w:r>
      <w:r w:rsidRPr="00B23396">
        <w:rPr>
          <w:rFonts w:ascii="Arial" w:hAnsi="Arial" w:cs="Arial"/>
          <w:bCs/>
          <w:sz w:val="32"/>
          <w:szCs w:val="32"/>
          <w:lang w:val="en-MY"/>
        </w:rPr>
        <w:t xml:space="preserve">, Siraj. </w:t>
      </w:r>
      <w:proofErr w:type="spellStart"/>
      <w:proofErr w:type="gramStart"/>
      <w:r w:rsidRPr="00B23396">
        <w:rPr>
          <w:rFonts w:ascii="Arial" w:hAnsi="Arial" w:cs="Arial"/>
          <w:bCs/>
          <w:sz w:val="32"/>
          <w:szCs w:val="32"/>
          <w:lang w:val="en-MY"/>
        </w:rPr>
        <w:t>S.A</w:t>
      </w:r>
      <w:r w:rsidRPr="00B23396">
        <w:rPr>
          <w:rFonts w:ascii="Arial" w:hAnsi="Arial" w:cs="Arial"/>
          <w:bCs/>
          <w:sz w:val="32"/>
          <w:szCs w:val="32"/>
          <w:vertAlign w:val="superscript"/>
          <w:lang w:val="en-MY"/>
        </w:rPr>
        <w:t>b</w:t>
      </w:r>
      <w:proofErr w:type="spellEnd"/>
      <w:proofErr w:type="gramEnd"/>
      <w:r w:rsidRPr="00B23396">
        <w:rPr>
          <w:rFonts w:ascii="Arial" w:hAnsi="Arial" w:cs="Arial"/>
          <w:bCs/>
          <w:sz w:val="32"/>
          <w:szCs w:val="32"/>
          <w:lang w:val="en-MY"/>
        </w:rPr>
        <w:t xml:space="preserve">, </w:t>
      </w:r>
      <w:proofErr w:type="spellStart"/>
      <w:r w:rsidRPr="00B23396">
        <w:rPr>
          <w:rFonts w:ascii="Arial" w:hAnsi="Arial" w:cs="Arial"/>
          <w:bCs/>
          <w:sz w:val="32"/>
          <w:szCs w:val="32"/>
          <w:lang w:val="en-MY"/>
        </w:rPr>
        <w:t>Osman@Husin</w:t>
      </w:r>
      <w:proofErr w:type="spellEnd"/>
      <w:r w:rsidRPr="00B23396">
        <w:rPr>
          <w:rFonts w:ascii="Arial" w:hAnsi="Arial" w:cs="Arial"/>
          <w:bCs/>
          <w:sz w:val="32"/>
          <w:szCs w:val="32"/>
          <w:lang w:val="en-MY"/>
        </w:rPr>
        <w:t xml:space="preserve">. </w:t>
      </w:r>
      <w:proofErr w:type="spellStart"/>
      <w:proofErr w:type="gramStart"/>
      <w:r w:rsidRPr="00B23396">
        <w:rPr>
          <w:rFonts w:ascii="Arial" w:hAnsi="Arial" w:cs="Arial"/>
          <w:bCs/>
          <w:sz w:val="32"/>
          <w:szCs w:val="32"/>
          <w:lang w:val="en-MY"/>
        </w:rPr>
        <w:t>A.Z</w:t>
      </w:r>
      <w:r w:rsidRPr="00B23396">
        <w:rPr>
          <w:rFonts w:ascii="Arial" w:hAnsi="Arial" w:cs="Arial"/>
          <w:bCs/>
          <w:sz w:val="32"/>
          <w:szCs w:val="32"/>
          <w:vertAlign w:val="superscript"/>
          <w:lang w:val="en-MY"/>
        </w:rPr>
        <w:t>c</w:t>
      </w:r>
      <w:proofErr w:type="spellEnd"/>
      <w:proofErr w:type="gramEnd"/>
      <w:r w:rsidRPr="00B23396">
        <w:rPr>
          <w:rFonts w:ascii="Arial" w:hAnsi="Arial" w:cs="Arial"/>
          <w:bCs/>
          <w:sz w:val="32"/>
          <w:szCs w:val="32"/>
          <w:lang w:val="en-MY"/>
        </w:rPr>
        <w:t>, Mohd Ariffin. N</w:t>
      </w:r>
      <w:r w:rsidRPr="00B23396">
        <w:rPr>
          <w:rFonts w:ascii="Arial" w:hAnsi="Arial" w:cs="Arial"/>
          <w:bCs/>
          <w:sz w:val="32"/>
          <w:szCs w:val="32"/>
          <w:vertAlign w:val="superscript"/>
          <w:lang w:val="en-MY"/>
        </w:rPr>
        <w:t>d</w:t>
      </w:r>
    </w:p>
    <w:p w14:paraId="4F95DC7B" w14:textId="54A02891" w:rsidR="00B23396" w:rsidRPr="00000592" w:rsidRDefault="00B23396" w:rsidP="00B23396">
      <w:pPr>
        <w:spacing w:after="0" w:line="240" w:lineRule="auto"/>
        <w:jc w:val="center"/>
        <w:rPr>
          <w:rFonts w:ascii="Calibri" w:hAnsi="Calibri" w:cs="Calibri"/>
          <w:bCs/>
          <w:sz w:val="24"/>
          <w:szCs w:val="24"/>
          <w:lang w:val="en-MY"/>
        </w:rPr>
      </w:pPr>
      <w:proofErr w:type="spellStart"/>
      <w:proofErr w:type="gramStart"/>
      <w:r w:rsidRPr="00000592">
        <w:rPr>
          <w:rFonts w:ascii="Calibri" w:hAnsi="Calibri" w:cs="Calibri"/>
          <w:bCs/>
          <w:sz w:val="24"/>
          <w:szCs w:val="24"/>
          <w:vertAlign w:val="superscript"/>
          <w:lang w:val="en-MY"/>
        </w:rPr>
        <w:t>a,b</w:t>
      </w:r>
      <w:proofErr w:type="gramEnd"/>
      <w:r w:rsidRPr="00000592">
        <w:rPr>
          <w:rFonts w:ascii="Calibri" w:hAnsi="Calibri" w:cs="Calibri"/>
          <w:bCs/>
          <w:sz w:val="24"/>
          <w:szCs w:val="24"/>
          <w:vertAlign w:val="superscript"/>
          <w:lang w:val="en-MY"/>
        </w:rPr>
        <w:t>,c,d</w:t>
      </w:r>
      <w:r w:rsidRPr="00000592">
        <w:rPr>
          <w:rFonts w:ascii="Calibri" w:hAnsi="Calibri" w:cs="Calibri"/>
          <w:bCs/>
          <w:sz w:val="24"/>
          <w:szCs w:val="24"/>
          <w:lang w:val="en-MY"/>
        </w:rPr>
        <w:t>Department</w:t>
      </w:r>
      <w:proofErr w:type="spellEnd"/>
      <w:r w:rsidRPr="00000592">
        <w:rPr>
          <w:rFonts w:ascii="Calibri" w:hAnsi="Calibri" w:cs="Calibri"/>
          <w:bCs/>
          <w:sz w:val="24"/>
          <w:szCs w:val="24"/>
          <w:lang w:val="en-MY"/>
        </w:rPr>
        <w:t xml:space="preserve"> of Accounting, Kulliyyah of Economics and Management Sciences, International Islamic University Malaysia,53100 Gombak, Selangor, Malaysia </w:t>
      </w:r>
    </w:p>
    <w:p w14:paraId="43382DC7" w14:textId="28E5203C" w:rsidR="00B23396" w:rsidRPr="00000592" w:rsidRDefault="00B23396" w:rsidP="00B23396">
      <w:pPr>
        <w:spacing w:after="0" w:line="240" w:lineRule="auto"/>
        <w:jc w:val="center"/>
        <w:rPr>
          <w:rFonts w:ascii="Calibri" w:hAnsi="Calibri" w:cs="Calibri"/>
          <w:bCs/>
          <w:sz w:val="24"/>
          <w:szCs w:val="24"/>
          <w:lang w:val="en-MY"/>
        </w:rPr>
      </w:pPr>
      <w:r w:rsidRPr="00000592">
        <w:rPr>
          <w:rFonts w:ascii="Calibri" w:hAnsi="Calibri" w:cs="Calibri"/>
          <w:bCs/>
          <w:sz w:val="24"/>
          <w:szCs w:val="24"/>
          <w:lang w:val="en-MY"/>
        </w:rPr>
        <w:t>Corresponding Authors Email: baharinbahriah@gmail.com</w:t>
      </w:r>
    </w:p>
    <w:p w14:paraId="5D4115FD" w14:textId="77777777" w:rsidR="00B23396" w:rsidRPr="00000592" w:rsidRDefault="00B23396" w:rsidP="00B23396">
      <w:pPr>
        <w:spacing w:after="0" w:line="240" w:lineRule="auto"/>
        <w:rPr>
          <w:rFonts w:ascii="Calibri" w:hAnsi="Calibri" w:cs="Calibri"/>
          <w:b/>
          <w:sz w:val="24"/>
          <w:szCs w:val="24"/>
        </w:rPr>
      </w:pPr>
    </w:p>
    <w:tbl>
      <w:tblPr>
        <w:tblStyle w:val="TableGrid"/>
        <w:tblpPr w:leftFromText="180" w:rightFromText="180" w:vertAnchor="page" w:horzAnchor="margin" w:tblpXSpec="center" w:tblpY="6511"/>
        <w:tblW w:w="11216" w:type="dxa"/>
        <w:tblBorders>
          <w:top w:val="none" w:sz="0" w:space="0" w:color="auto"/>
          <w:left w:val="none" w:sz="0" w:space="0" w:color="auto"/>
          <w:bottom w:val="none" w:sz="0" w:space="0" w:color="auto"/>
          <w:right w:val="none" w:sz="0" w:space="0" w:color="auto"/>
          <w:insideH w:val="thinThickSmallGap" w:sz="24" w:space="0" w:color="44546A" w:themeColor="text2"/>
          <w:insideV w:val="none" w:sz="0" w:space="0" w:color="auto"/>
        </w:tblBorders>
        <w:tblLook w:val="04A0" w:firstRow="1" w:lastRow="0" w:firstColumn="1" w:lastColumn="0" w:noHBand="0" w:noVBand="1"/>
      </w:tblPr>
      <w:tblGrid>
        <w:gridCol w:w="11216"/>
      </w:tblGrid>
      <w:tr w:rsidR="00B23396" w14:paraId="26AAA679" w14:textId="77777777" w:rsidTr="00B23396">
        <w:trPr>
          <w:trHeight w:val="119"/>
        </w:trPr>
        <w:tc>
          <w:tcPr>
            <w:tcW w:w="11216" w:type="dxa"/>
          </w:tcPr>
          <w:p w14:paraId="325CA174" w14:textId="3DB9D60A" w:rsidR="00B23396" w:rsidRDefault="00B23396" w:rsidP="00B23396">
            <w:pPr>
              <w:spacing w:after="0" w:line="240" w:lineRule="auto"/>
              <w:contextualSpacing/>
              <w:rPr>
                <w:rFonts w:cs="Arial"/>
                <w:b/>
                <w:sz w:val="28"/>
              </w:rPr>
            </w:pPr>
            <w:bookmarkStart w:id="6" w:name="OLE_LINK1"/>
            <w:bookmarkStart w:id="7" w:name="_Hlk164864743"/>
            <w:bookmarkStart w:id="8" w:name="_Hlk164867690"/>
            <w:bookmarkStart w:id="9" w:name="OLE_LINK28"/>
            <w:bookmarkStart w:id="10" w:name="OLE_LINK10"/>
            <w:bookmarkStart w:id="11" w:name="OLE_LINK13"/>
            <w:bookmarkStart w:id="12" w:name="OLE_LINK39"/>
            <w:bookmarkStart w:id="13" w:name="OLE_LINK38"/>
            <w:bookmarkStart w:id="14" w:name="OLE_LINK37"/>
            <w:r>
              <w:rPr>
                <w:rFonts w:cs="Arial"/>
                <w:b/>
                <w:sz w:val="24"/>
              </w:rPr>
              <w:t xml:space="preserve">To Link this Article: </w:t>
            </w:r>
            <w:r>
              <w:rPr>
                <w:sz w:val="24"/>
                <w:szCs w:val="24"/>
              </w:rPr>
              <w:t>http://dx.doi.org/10.6007/IJARBSS/v15-i2/</w:t>
            </w:r>
            <w:r w:rsidRPr="005E7C26">
              <w:rPr>
                <w:sz w:val="24"/>
                <w:szCs w:val="24"/>
              </w:rPr>
              <w:t>2</w:t>
            </w:r>
            <w:r>
              <w:rPr>
                <w:sz w:val="24"/>
                <w:szCs w:val="24"/>
              </w:rPr>
              <w:t>48</w:t>
            </w:r>
            <w:r w:rsidR="00D048F5">
              <w:rPr>
                <w:sz w:val="24"/>
                <w:szCs w:val="24"/>
              </w:rPr>
              <w:t>54</w:t>
            </w:r>
            <w:r>
              <w:rPr>
                <w:sz w:val="24"/>
                <w:szCs w:val="24"/>
              </w:rPr>
              <w:t xml:space="preserve">      DOI:10.6007/IJARBSS/v15-i2/248</w:t>
            </w:r>
            <w:r w:rsidR="00D048F5">
              <w:rPr>
                <w:sz w:val="24"/>
                <w:szCs w:val="24"/>
              </w:rPr>
              <w:t>54</w:t>
            </w:r>
          </w:p>
        </w:tc>
      </w:tr>
      <w:tr w:rsidR="00B23396" w14:paraId="40C5EDF4" w14:textId="77777777" w:rsidTr="00B23396">
        <w:trPr>
          <w:trHeight w:val="600"/>
        </w:trPr>
        <w:tc>
          <w:tcPr>
            <w:tcW w:w="11216" w:type="dxa"/>
          </w:tcPr>
          <w:p w14:paraId="7BC146CC" w14:textId="65BFBFA0" w:rsidR="00B23396" w:rsidRDefault="00B23396" w:rsidP="00B23396">
            <w:pPr>
              <w:spacing w:after="0" w:line="240" w:lineRule="auto"/>
              <w:rPr>
                <w:rFonts w:cs="Arial"/>
                <w:bCs/>
                <w:iCs/>
                <w:sz w:val="24"/>
              </w:rPr>
            </w:pPr>
            <w:r>
              <w:rPr>
                <w:rFonts w:cs="Arial"/>
                <w:b/>
                <w:i/>
                <w:sz w:val="24"/>
              </w:rPr>
              <w:t xml:space="preserve">Published Date: </w:t>
            </w:r>
            <w:r>
              <w:rPr>
                <w:rFonts w:cs="Arial"/>
                <w:bCs/>
                <w:iCs/>
                <w:sz w:val="24"/>
              </w:rPr>
              <w:t>2</w:t>
            </w:r>
            <w:r w:rsidR="00D048F5">
              <w:rPr>
                <w:rFonts w:cs="Arial"/>
                <w:bCs/>
                <w:iCs/>
                <w:sz w:val="24"/>
              </w:rPr>
              <w:t>5</w:t>
            </w:r>
            <w:r>
              <w:rPr>
                <w:rFonts w:cs="Arial"/>
                <w:bCs/>
                <w:iCs/>
                <w:sz w:val="24"/>
              </w:rPr>
              <w:t xml:space="preserve"> February 2025</w:t>
            </w:r>
          </w:p>
        </w:tc>
      </w:tr>
    </w:tbl>
    <w:bookmarkEnd w:id="6"/>
    <w:bookmarkEnd w:id="7"/>
    <w:bookmarkEnd w:id="8"/>
    <w:bookmarkEnd w:id="9"/>
    <w:bookmarkEnd w:id="10"/>
    <w:bookmarkEnd w:id="11"/>
    <w:bookmarkEnd w:id="12"/>
    <w:bookmarkEnd w:id="13"/>
    <w:bookmarkEnd w:id="14"/>
    <w:p w14:paraId="24F57DED" w14:textId="0CC54304" w:rsidR="00B23396" w:rsidRPr="00000592" w:rsidRDefault="00B23396" w:rsidP="00B23396">
      <w:pPr>
        <w:spacing w:after="0" w:line="240" w:lineRule="auto"/>
        <w:outlineLvl w:val="1"/>
        <w:rPr>
          <w:rFonts w:ascii="Calibri" w:hAnsi="Calibri" w:cs="Calibri"/>
          <w:b/>
          <w:sz w:val="24"/>
          <w:szCs w:val="24"/>
        </w:rPr>
      </w:pPr>
      <w:r w:rsidRPr="00000592">
        <w:rPr>
          <w:rFonts w:ascii="Calibri" w:hAnsi="Calibri" w:cs="Calibri"/>
          <w:b/>
          <w:sz w:val="24"/>
          <w:szCs w:val="24"/>
        </w:rPr>
        <w:t>Abstract</w:t>
      </w:r>
    </w:p>
    <w:p w14:paraId="78ECBFF7" w14:textId="77777777" w:rsidR="00B23396" w:rsidRPr="00000592" w:rsidRDefault="00B23396" w:rsidP="00B23396">
      <w:pPr>
        <w:spacing w:after="0" w:line="240" w:lineRule="auto"/>
        <w:jc w:val="both"/>
        <w:rPr>
          <w:rFonts w:ascii="Calibri" w:hAnsi="Calibri" w:cs="Calibri"/>
          <w:bCs/>
          <w:sz w:val="24"/>
          <w:szCs w:val="24"/>
          <w:lang w:val="en-MY"/>
        </w:rPr>
      </w:pPr>
      <w:r w:rsidRPr="00000592">
        <w:rPr>
          <w:rFonts w:ascii="Calibri" w:hAnsi="Calibri" w:cs="Calibri"/>
          <w:bCs/>
          <w:sz w:val="24"/>
          <w:szCs w:val="24"/>
          <w:lang w:val="en-MY"/>
        </w:rPr>
        <w:t>Waqf, a cornerstone of Islamic philanthropy, has historically contributed to socio-economic and environmental sustainability. Despite its significant potential, waqf institutions face limited governance frameworks, outdated practices, and insufficient integration with contemporary financial and technological systems. These gaps hinder its alignment with modern sustainability objectives, particularly in addressing economic, social, environmental, and governance-related issues. This study explores and enhances waqf’s sustainability through a thematic review encompassing five key areas: financial sustainability and economic development, community empowerment and social welfare, innovative waqf models and practices, environmental sustainability, and governance and legal frameworks. This study employed a structured thematic analysis and synthesised findings from recent literature published between 2018 and 2024. The results reveal that waqf’s potential can be maximised through innovative financial models, community-driven initiatives, green strategies, and robust governance mechanisms. Contributions include cash waqf integration with microfinance, productive waqf initiatives in education and agriculture, and adopting governance frameworks that align with sustainable development goals. These findings demonstrate waqf's adaptability to modern challenges, showcasing its role in promoting financial inclusion, community resilience, and ecological conservation. Future research should focus on digitalising waqf management, exploring interdisciplinary approaches, and scaling innovative models across diverse socio-economic landscapes. The study contributes to academia by filling gaps in waqf-related sustainability research. It offers practitioners actionable strategies for optimising waqf’s impact, positioning it as a vital tool for achieving comprehensive sustainability in a rapidly evolving global context.</w:t>
      </w:r>
    </w:p>
    <w:p w14:paraId="2D8D62E3" w14:textId="7F80F1AF" w:rsidR="00B23396" w:rsidRPr="00000592" w:rsidRDefault="00B23396" w:rsidP="00B23396">
      <w:pPr>
        <w:spacing w:after="0" w:line="240" w:lineRule="auto"/>
        <w:rPr>
          <w:rFonts w:ascii="Calibri" w:hAnsi="Calibri" w:cs="Calibri"/>
          <w:color w:val="FF0000"/>
          <w:sz w:val="24"/>
          <w:szCs w:val="24"/>
        </w:rPr>
      </w:pPr>
      <w:r w:rsidRPr="00000592">
        <w:rPr>
          <w:rFonts w:ascii="Calibri" w:hAnsi="Calibri" w:cs="Calibri"/>
          <w:b/>
          <w:sz w:val="24"/>
          <w:szCs w:val="24"/>
        </w:rPr>
        <w:t>Keywords:</w:t>
      </w:r>
      <w:r w:rsidRPr="00000592">
        <w:rPr>
          <w:rFonts w:ascii="Calibri" w:hAnsi="Calibri" w:cs="Calibri"/>
          <w:sz w:val="24"/>
          <w:szCs w:val="24"/>
        </w:rPr>
        <w:t xml:space="preserve"> </w:t>
      </w:r>
      <w:r w:rsidRPr="00000592">
        <w:rPr>
          <w:rFonts w:ascii="Calibri" w:hAnsi="Calibri" w:cs="Calibri"/>
          <w:bCs/>
          <w:sz w:val="24"/>
          <w:szCs w:val="24"/>
          <w:lang w:val="en-MY"/>
        </w:rPr>
        <w:t>Waqf, Sustainability, Waqf Practices, Sustaining of Waqf, Thematic Review</w:t>
      </w:r>
    </w:p>
    <w:p w14:paraId="5C9F91D5" w14:textId="77777777" w:rsidR="00B23396" w:rsidRDefault="00B23396" w:rsidP="00B23396">
      <w:pPr>
        <w:pBdr>
          <w:top w:val="nil"/>
          <w:left w:val="nil"/>
          <w:bottom w:val="nil"/>
          <w:right w:val="nil"/>
          <w:between w:val="nil"/>
        </w:pBdr>
        <w:spacing w:after="0" w:line="240" w:lineRule="auto"/>
        <w:outlineLvl w:val="1"/>
        <w:rPr>
          <w:rFonts w:ascii="Calibri" w:hAnsi="Calibri" w:cs="Calibri"/>
          <w:b/>
          <w:sz w:val="24"/>
          <w:szCs w:val="24"/>
        </w:rPr>
      </w:pPr>
    </w:p>
    <w:p w14:paraId="55DE40A9" w14:textId="77777777" w:rsidR="00B23396" w:rsidRDefault="00B23396" w:rsidP="00B23396">
      <w:pPr>
        <w:pBdr>
          <w:top w:val="nil"/>
          <w:left w:val="nil"/>
          <w:bottom w:val="nil"/>
          <w:right w:val="nil"/>
          <w:between w:val="nil"/>
        </w:pBdr>
        <w:spacing w:after="0" w:line="240" w:lineRule="auto"/>
        <w:outlineLvl w:val="1"/>
        <w:rPr>
          <w:rFonts w:ascii="Calibri" w:hAnsi="Calibri" w:cs="Calibri"/>
          <w:b/>
          <w:sz w:val="24"/>
          <w:szCs w:val="24"/>
        </w:rPr>
      </w:pPr>
    </w:p>
    <w:p w14:paraId="2417778E" w14:textId="70AA71D7" w:rsidR="00B23396" w:rsidRPr="00000592" w:rsidRDefault="00B23396" w:rsidP="00B23396">
      <w:pPr>
        <w:pBdr>
          <w:top w:val="nil"/>
          <w:left w:val="nil"/>
          <w:bottom w:val="nil"/>
          <w:right w:val="nil"/>
          <w:between w:val="nil"/>
        </w:pBdr>
        <w:spacing w:after="0" w:line="240" w:lineRule="auto"/>
        <w:outlineLvl w:val="1"/>
        <w:rPr>
          <w:rFonts w:ascii="Calibri" w:hAnsi="Calibri" w:cs="Calibri"/>
          <w:b/>
          <w:sz w:val="24"/>
          <w:szCs w:val="24"/>
        </w:rPr>
      </w:pPr>
      <w:r w:rsidRPr="00000592">
        <w:rPr>
          <w:rFonts w:ascii="Calibri" w:hAnsi="Calibri" w:cs="Calibri"/>
          <w:b/>
          <w:sz w:val="24"/>
          <w:szCs w:val="24"/>
        </w:rPr>
        <w:lastRenderedPageBreak/>
        <w:t>Introduction</w:t>
      </w:r>
    </w:p>
    <w:p w14:paraId="33525B4D" w14:textId="77777777" w:rsidR="00B23396" w:rsidRDefault="00B23396" w:rsidP="00B23396">
      <w:pPr>
        <w:pStyle w:val="NormalWeb"/>
        <w:spacing w:before="0" w:beforeAutospacing="0" w:after="0" w:afterAutospacing="0"/>
        <w:jc w:val="both"/>
        <w:rPr>
          <w:rFonts w:ascii="Calibri" w:eastAsia="Calibri" w:hAnsi="Calibri" w:cs="Calibri"/>
          <w:color w:val="0D0D0D"/>
          <w:shd w:val="clear" w:color="auto" w:fill="FFFFFF"/>
        </w:rPr>
      </w:pPr>
      <w:bookmarkStart w:id="15" w:name="_heading=h.30j0zll" w:colFirst="0" w:colLast="0"/>
      <w:bookmarkEnd w:id="15"/>
      <w:r w:rsidRPr="00000592">
        <w:rPr>
          <w:rFonts w:ascii="Calibri" w:eastAsia="Calibri" w:hAnsi="Calibri" w:cs="Calibri"/>
          <w:color w:val="0D0D0D"/>
          <w:shd w:val="clear" w:color="auto" w:fill="FFFFFF"/>
        </w:rPr>
        <w:t>The waqf institution has been a pillar of Islamic philanthropy for centuries, promoting social welfare, economic stability, and sustainable development worldwide and beyond. Historically, waqf played a significant role during the golden age of Islam, shaping modern endowment systems, including those in European educational institutions (Bulut, 2020). This historical legacy underscores waqf's transformative potential, which remains crucial in addressing contemporary challenges. However, in recent decades, the waqf system has faced challenges such as outdated governance structures, limited human capital development, and a lack of innovative financial mechanisms, compromising its long-term viability and highlighting the need for urgent reform (</w:t>
      </w:r>
      <w:proofErr w:type="spellStart"/>
      <w:r w:rsidRPr="00000592">
        <w:rPr>
          <w:rFonts w:ascii="Calibri" w:eastAsia="Calibri" w:hAnsi="Calibri" w:cs="Calibri"/>
          <w:color w:val="0D0D0D"/>
          <w:shd w:val="clear" w:color="auto" w:fill="FFFFFF"/>
        </w:rPr>
        <w:t>Yuspin</w:t>
      </w:r>
      <w:proofErr w:type="spellEnd"/>
      <w:r w:rsidRPr="00000592">
        <w:rPr>
          <w:rFonts w:ascii="Calibri" w:eastAsia="Calibri" w:hAnsi="Calibri" w:cs="Calibri"/>
          <w:color w:val="0D0D0D"/>
          <w:shd w:val="clear" w:color="auto" w:fill="FFFFFF"/>
        </w:rPr>
        <w:t xml:space="preserve"> &amp; </w:t>
      </w:r>
      <w:proofErr w:type="spellStart"/>
      <w:r w:rsidRPr="00000592">
        <w:rPr>
          <w:rFonts w:ascii="Calibri" w:eastAsia="Calibri" w:hAnsi="Calibri" w:cs="Calibri"/>
          <w:color w:val="0D0D0D"/>
          <w:shd w:val="clear" w:color="auto" w:fill="FFFFFF"/>
        </w:rPr>
        <w:t>Fauzie</w:t>
      </w:r>
      <w:proofErr w:type="spellEnd"/>
      <w:r w:rsidRPr="00000592">
        <w:rPr>
          <w:rFonts w:ascii="Calibri" w:eastAsia="Calibri" w:hAnsi="Calibri" w:cs="Calibri"/>
          <w:color w:val="0D0D0D"/>
          <w:shd w:val="clear" w:color="auto" w:fill="FFFFFF"/>
        </w:rPr>
        <w:t>, 2018).</w:t>
      </w:r>
    </w:p>
    <w:p w14:paraId="666A858C" w14:textId="77777777" w:rsidR="00B23396" w:rsidRPr="00000592" w:rsidRDefault="00B23396" w:rsidP="00B23396">
      <w:pPr>
        <w:pStyle w:val="NormalWeb"/>
        <w:spacing w:before="0" w:beforeAutospacing="0" w:after="0" w:afterAutospacing="0"/>
        <w:jc w:val="both"/>
        <w:rPr>
          <w:rFonts w:ascii="Calibri" w:eastAsia="Calibri" w:hAnsi="Calibri" w:cs="Calibri"/>
          <w:color w:val="0D0D0D"/>
          <w:shd w:val="clear" w:color="auto" w:fill="FFFFFF"/>
        </w:rPr>
      </w:pPr>
    </w:p>
    <w:p w14:paraId="79857535" w14:textId="77777777" w:rsidR="00B23396" w:rsidRDefault="00B23396" w:rsidP="00B23396">
      <w:pPr>
        <w:pStyle w:val="NormalWeb"/>
        <w:spacing w:before="0" w:beforeAutospacing="0" w:after="0" w:afterAutospacing="0"/>
        <w:jc w:val="both"/>
        <w:rPr>
          <w:rFonts w:ascii="Calibri" w:eastAsia="Calibri" w:hAnsi="Calibri" w:cs="Calibri"/>
          <w:color w:val="0D0D0D"/>
          <w:shd w:val="clear" w:color="auto" w:fill="FFFFFF"/>
        </w:rPr>
      </w:pPr>
      <w:r w:rsidRPr="00000592">
        <w:rPr>
          <w:rFonts w:ascii="Calibri" w:eastAsia="Calibri" w:hAnsi="Calibri" w:cs="Calibri"/>
          <w:color w:val="0D0D0D"/>
          <w:shd w:val="clear" w:color="auto" w:fill="FFFFFF"/>
        </w:rPr>
        <w:t xml:space="preserve">Recent trends in research and practice </w:t>
      </w:r>
      <w:proofErr w:type="gramStart"/>
      <w:r w:rsidRPr="00000592">
        <w:rPr>
          <w:rFonts w:ascii="Calibri" w:eastAsia="Calibri" w:hAnsi="Calibri" w:cs="Calibri"/>
          <w:color w:val="0D0D0D"/>
          <w:shd w:val="clear" w:color="auto" w:fill="FFFFFF"/>
        </w:rPr>
        <w:t>has</w:t>
      </w:r>
      <w:proofErr w:type="gramEnd"/>
      <w:r w:rsidRPr="00000592">
        <w:rPr>
          <w:rFonts w:ascii="Calibri" w:eastAsia="Calibri" w:hAnsi="Calibri" w:cs="Calibri"/>
          <w:color w:val="0D0D0D"/>
          <w:shd w:val="clear" w:color="auto" w:fill="FFFFFF"/>
        </w:rPr>
        <w:t xml:space="preserve"> highlighted a growing recognition of waqf's potential in addressing modern challenges. Innovations such as collaborations with microfinance initiatives have enhanced their relevance by meeting urgent community needs and promoting socio-economic growth (Ibrahim, 2021). Similarly, academic works have emphasised aligning waqf with the Sustainable Development Goals (SDGs), particularly in poverty alleviation and environmental sustainability (</w:t>
      </w:r>
      <w:proofErr w:type="spellStart"/>
      <w:r w:rsidRPr="00000592">
        <w:rPr>
          <w:rFonts w:ascii="Calibri" w:eastAsia="Calibri" w:hAnsi="Calibri" w:cs="Calibri"/>
          <w:color w:val="0D0D0D"/>
          <w:shd w:val="clear" w:color="auto" w:fill="FFFFFF"/>
        </w:rPr>
        <w:t>Awaludin</w:t>
      </w:r>
      <w:proofErr w:type="spellEnd"/>
      <w:r w:rsidRPr="00000592">
        <w:rPr>
          <w:rFonts w:ascii="Calibri" w:eastAsia="Calibri" w:hAnsi="Calibri" w:cs="Calibri"/>
          <w:color w:val="0D0D0D"/>
          <w:shd w:val="clear" w:color="auto" w:fill="FFFFFF"/>
        </w:rPr>
        <w:t xml:space="preserve"> et al., 2018). Nevertheless, significant gaps persist, including the limited exploration of innovative financial mechanisms and a lack of robust frameworks connecting waqf with long-term sustainability goals.</w:t>
      </w:r>
    </w:p>
    <w:p w14:paraId="4A65D485" w14:textId="77777777" w:rsidR="00B23396" w:rsidRPr="00000592" w:rsidRDefault="00B23396" w:rsidP="00B23396">
      <w:pPr>
        <w:pStyle w:val="NormalWeb"/>
        <w:spacing w:before="0" w:beforeAutospacing="0" w:after="0" w:afterAutospacing="0"/>
        <w:jc w:val="both"/>
        <w:rPr>
          <w:rFonts w:ascii="Calibri" w:eastAsia="Calibri" w:hAnsi="Calibri" w:cs="Calibri"/>
          <w:color w:val="0D0D0D"/>
          <w:shd w:val="clear" w:color="auto" w:fill="FFFFFF"/>
        </w:rPr>
      </w:pPr>
    </w:p>
    <w:p w14:paraId="0FEE6319" w14:textId="77777777" w:rsidR="00B23396" w:rsidRPr="00000592" w:rsidRDefault="00B23396" w:rsidP="00B23396">
      <w:pPr>
        <w:pStyle w:val="NormalWeb"/>
        <w:spacing w:before="0" w:beforeAutospacing="0" w:after="0" w:afterAutospacing="0"/>
        <w:jc w:val="both"/>
        <w:rPr>
          <w:rFonts w:ascii="Calibri" w:eastAsia="Calibri" w:hAnsi="Calibri" w:cs="Calibri"/>
          <w:color w:val="0D0D0D"/>
          <w:shd w:val="clear" w:color="auto" w:fill="FFFFFF"/>
        </w:rPr>
      </w:pPr>
      <w:r w:rsidRPr="00000592">
        <w:rPr>
          <w:rFonts w:ascii="Calibri" w:eastAsia="Calibri" w:hAnsi="Calibri" w:cs="Calibri"/>
          <w:color w:val="0D0D0D"/>
          <w:shd w:val="clear" w:color="auto" w:fill="FFFFFF"/>
        </w:rPr>
        <w:t>This study addresses these gaps by conducting a thematic review of waqf sustainability, focusing on enhancing its viability through innovative strategies and governance reforms. By synthesising insights from both practitioners and academics, the study aims to bridge existing knowledge deficits and propose actionable strategies to revitalise waqf, ensuring its alignment with sustainability goals. Specifically, this article aims to conduct a thematic review of published discussions on enhancing waqf sustainability from 2018 to 2024, guided by the research question outlined below.</w:t>
      </w:r>
    </w:p>
    <w:p w14:paraId="1191C5D2" w14:textId="77777777" w:rsidR="00B23396" w:rsidRPr="00B23396" w:rsidRDefault="00B23396" w:rsidP="00B23396">
      <w:pPr>
        <w:spacing w:after="0" w:line="240" w:lineRule="auto"/>
        <w:rPr>
          <w:rFonts w:ascii="Calibri" w:hAnsi="Calibri" w:cs="Calibri"/>
          <w:sz w:val="24"/>
          <w:szCs w:val="24"/>
        </w:rPr>
      </w:pPr>
      <w:r w:rsidRPr="00B23396">
        <w:rPr>
          <w:rFonts w:ascii="Calibri" w:hAnsi="Calibri" w:cs="Calibri"/>
          <w:noProof/>
          <w:sz w:val="24"/>
          <w:szCs w:val="24"/>
        </w:rPr>
        <w:t xml:space="preserve">RQ: </w:t>
      </w:r>
      <w:r w:rsidRPr="00B23396">
        <w:rPr>
          <w:rFonts w:ascii="Calibri" w:hAnsi="Calibri" w:cs="Calibri"/>
          <w:sz w:val="24"/>
          <w:szCs w:val="24"/>
        </w:rPr>
        <w:t>What are the current trends in WAQF and sustainability publications found in the literature from 2018- 2024?</w:t>
      </w:r>
    </w:p>
    <w:p w14:paraId="6C180CE9" w14:textId="77777777" w:rsidR="00B23396" w:rsidRDefault="00B23396" w:rsidP="00B23396">
      <w:pPr>
        <w:spacing w:after="0" w:line="240" w:lineRule="auto"/>
        <w:rPr>
          <w:rFonts w:ascii="Calibri" w:hAnsi="Calibri" w:cs="Calibri"/>
          <w:b/>
          <w:sz w:val="24"/>
          <w:szCs w:val="24"/>
        </w:rPr>
      </w:pPr>
    </w:p>
    <w:p w14:paraId="427ABFE5" w14:textId="205EB37A" w:rsidR="00B23396" w:rsidRPr="00B23396" w:rsidRDefault="00B23396" w:rsidP="00B23396">
      <w:pPr>
        <w:spacing w:after="0" w:line="240" w:lineRule="auto"/>
        <w:rPr>
          <w:rFonts w:ascii="Calibri" w:hAnsi="Calibri" w:cs="Calibri"/>
          <w:b/>
          <w:sz w:val="24"/>
          <w:szCs w:val="24"/>
        </w:rPr>
      </w:pPr>
      <w:r w:rsidRPr="00B23396">
        <w:rPr>
          <w:rFonts w:cs="Calibri"/>
          <w:b/>
          <w:color w:val="000000"/>
          <w:sz w:val="24"/>
          <w:szCs w:val="24"/>
        </w:rPr>
        <w:t>Materials and Methods</w:t>
      </w:r>
      <w:bookmarkStart w:id="16" w:name="_heading=h.1fob9te" w:colFirst="0" w:colLast="0"/>
      <w:bookmarkEnd w:id="16"/>
    </w:p>
    <w:p w14:paraId="7A207A19" w14:textId="77777777" w:rsidR="00B23396" w:rsidRPr="00000592" w:rsidRDefault="00B23396" w:rsidP="00B23396">
      <w:pPr>
        <w:spacing w:after="0" w:line="240" w:lineRule="auto"/>
        <w:jc w:val="both"/>
        <w:rPr>
          <w:rFonts w:ascii="Calibri" w:hAnsi="Calibri" w:cs="Calibri"/>
          <w:color w:val="0D0D0D"/>
          <w:sz w:val="24"/>
          <w:szCs w:val="24"/>
          <w:shd w:val="clear" w:color="auto" w:fill="FFFFFF"/>
        </w:rPr>
      </w:pPr>
      <w:r w:rsidRPr="00000592">
        <w:rPr>
          <w:rFonts w:ascii="Calibri" w:hAnsi="Calibri" w:cs="Calibri"/>
          <w:color w:val="0D0D0D"/>
          <w:sz w:val="24"/>
          <w:szCs w:val="24"/>
          <w:shd w:val="clear" w:color="auto" w:fill="FFFFFF"/>
        </w:rPr>
        <w:t xml:space="preserve">According to </w:t>
      </w:r>
      <w:r w:rsidRPr="00000592">
        <w:rPr>
          <w:rFonts w:ascii="Calibri" w:hAnsi="Calibri" w:cs="Calibri"/>
          <w:sz w:val="24"/>
          <w:szCs w:val="24"/>
        </w:rPr>
        <w:t>Clarke and Braun (2013)</w:t>
      </w:r>
      <w:r w:rsidRPr="00000592">
        <w:rPr>
          <w:rFonts w:ascii="Calibri" w:hAnsi="Calibri" w:cs="Calibri"/>
          <w:color w:val="0D0D0D"/>
          <w:sz w:val="24"/>
          <w:szCs w:val="24"/>
          <w:shd w:val="clear" w:color="auto" w:fill="FFFFFF"/>
        </w:rPr>
        <w:t xml:space="preserve">, thematic analysis is a process that involves identifying patterns within qualitative data and constructing pertinent themes that emerge from an in-depth examination of the subject matter. The concept of a "thematic review" was employed within the framework of this study, </w:t>
      </w:r>
      <w:proofErr w:type="spellStart"/>
      <w:r w:rsidRPr="00000592">
        <w:rPr>
          <w:rFonts w:ascii="Calibri" w:hAnsi="Calibri" w:cs="Calibri"/>
          <w:color w:val="0D0D0D"/>
          <w:sz w:val="24"/>
          <w:szCs w:val="24"/>
          <w:shd w:val="clear" w:color="auto" w:fill="FFFFFF"/>
        </w:rPr>
        <w:t>utilising</w:t>
      </w:r>
      <w:proofErr w:type="spellEnd"/>
      <w:r w:rsidRPr="00000592">
        <w:rPr>
          <w:rFonts w:ascii="Calibri" w:hAnsi="Calibri" w:cs="Calibri"/>
          <w:color w:val="0D0D0D"/>
          <w:sz w:val="24"/>
          <w:szCs w:val="24"/>
          <w:shd w:val="clear" w:color="auto" w:fill="FFFFFF"/>
        </w:rPr>
        <w:t xml:space="preserve"> </w:t>
      </w:r>
      <w:proofErr w:type="spellStart"/>
      <w:r w:rsidRPr="00000592">
        <w:rPr>
          <w:rFonts w:ascii="Calibri" w:hAnsi="Calibri" w:cs="Calibri"/>
          <w:color w:val="0D0D0D"/>
          <w:sz w:val="24"/>
          <w:szCs w:val="24"/>
          <w:shd w:val="clear" w:color="auto" w:fill="FFFFFF"/>
        </w:rPr>
        <w:t>ATLAS.ti</w:t>
      </w:r>
      <w:proofErr w:type="spellEnd"/>
      <w:r w:rsidRPr="00000592">
        <w:rPr>
          <w:rFonts w:ascii="Calibri" w:hAnsi="Calibri" w:cs="Calibri"/>
          <w:color w:val="0D0D0D"/>
          <w:sz w:val="24"/>
          <w:szCs w:val="24"/>
          <w:shd w:val="clear" w:color="auto" w:fill="FFFFFF"/>
        </w:rPr>
        <w:t xml:space="preserve"> as the primary analytical tool. This methodology was initially introduced by </w:t>
      </w:r>
      <w:r w:rsidRPr="00000592">
        <w:rPr>
          <w:rFonts w:ascii="Calibri" w:hAnsi="Calibri" w:cs="Calibri"/>
          <w:sz w:val="24"/>
          <w:szCs w:val="24"/>
        </w:rPr>
        <w:fldChar w:fldCharType="begin" w:fldLock="1"/>
      </w:r>
      <w:r w:rsidRPr="00000592">
        <w:rPr>
          <w:rFonts w:ascii="Calibri" w:hAnsi="Calibri" w:cs="Calibri"/>
          <w:sz w:val="24"/>
          <w:szCs w:val="24"/>
        </w:rPr>
        <w:instrText>ADDIN CSL_CITATION {"citationItems":[{"id":"ITEM-1","itemData":{"DOI":"10.31838/jcr.07.02.95","ISSN":"23945125","abstract":"Student’s centred learning (SCL) has become a popular approach in today’s higher learning education. It involves a collaborative synergy where teachers see the benefits to students, regarding increased enthusiasm, participation, and better preparation in the class project. Despite its popularity, there is no review paper discussing the type of SCL that has been implemented in the design studio teaching. This review was motivated by the belief that design studio in an immense pedagogy that needs to innovate the way it is taught in the classroom. Therefore, the goal of this systematic review is to synthesize literature from 2010 to 2019 on the SCL approach practices in the design studio using ATLAS.ti 8. A keyword search, followed by a filter using inclusion criteria from SCOPUS, Science Direct and Mendeley databases, identified 42 peer-reviewed journal articles. However, after the inclusion and exclusion process, only 23 articles were used as the final articles to be reviewed. A thematic review of these 23 articles identified 17 initial codes characterizing SCL in the design studio, grouped in 5 clusters: cooperative learning, inquiry-based learning, project-based learning, problem-based learning and technology-based learning. The results benefit the future study on SCL for architectural studio and can be a guideline for design studio educators in the 21st-century studio teaching.","author":[{"dropping-particle":"","family":"Zairul","given":"Mohd","non-dropping-particle":"","parse-names":false,"suffix":""},{"dropping-particle":"","family":"Mohd Zairul","given":"","non-dropping-particle":"","parse-names":false,"suffix":""}],"container-title":"Journal of critical reviews","id":"ITEM-1","issue":"02","issued":{"date-parts":[["2020","1"]]},"page":"504-511","publisher-place":"Department of Architecture, Faculty of Design and Architecture, Universiti Putra Malaysia, Serdang, Selangor, Malaysia","title":"A THEMATIC REVIEW ON STUDENT-CENTRED LEARNING IN THE STUDIO EDUCATION","type":"article-journal","volume":"7"},"uris":["http://www.mendeley.com/documents/?uuid=646f3892-44df-4142-9c58-43bc5fb9c28e","http://www.mendeley.com/documents/?uuid=adf78da1-1a64-45c9-9e48-f55027a79378"]},{"id":"ITEM-2","itemData":{"DOI":"10.6180/jase.202204_25(2).0006 1.","abstract":"Under the Malaysian Construction Industry Transformation Programme (CITP) 2016–2020, IBS has been proposed as one of the alternative solutions for replacing conventional construction. Numerous IBS advantages have been documented and discovered since its first implementation in the 90s’. However, the literature still has inadequate studies that deliberate on IBS issues. Hence, this paper adopts a thematic review based on the issues captured in publications pertaining IBS from 2016 to 2021. The strategy of this article involved an investigation via an extensive review paper on IBS and analysis using thematic review. The findings from the code-to-document report in ATLAS.ti 8 revealed several issues in IBS based on the pattern highlighted in the literature. The outcomes are expected to benefit the direction of future research and to identify the gap for future solutions in IBS-related projects in Malaysia","author":[{"dropping-particle":"","family":"Zairul","given":"Mohd","non-dropping-particle":"","parse-names":false,"suffix":""}],"container-title":"Journal of Applied Science and Engineering","id":"ITEM-2","issued":{"date-parts":[["2021"]]},"page":"297-310","title":"Opening the Pandora Box of Issues in the Industrialized Building System in Malaysia : A Thematic Review","type":"article-journal","volume":"25"},"uris":["http://www.mendeley.com/documents/?uuid=3406be98-c9f1-4437-8010-38843d73a40b","http://www.mendeley.com/documents/?uuid=40292888-7af6-48b4-8ed2-86ecfb530081"]},{"id":"ITEM-3","itemData":{"DOI":"10.1108/ARCH-11-2022-0251","ISSN":"2631-6862","abstract":"This study aims to provide insight into the patterns and trends in the literature on the direction of future studio education in architecture schools, and can be useful to architecture schools, researchers and boards of studies in making decisions on how to move forward post-COVID-19. Design/methodology/approach – This study conducted a thematic review (TR) from SCOPUS and WoS that discuss the direction of future architecture studio education in the post-COVID-19 era and their recommendations for how to move forward. Findings – The final theme is feedback studies, innovation in studio teaching, and a new model for post-COVID-19 studio education. Research limitations/implications – Due to the temporal constraints of the data investigated between 2020 and 2022 based on the post-COVID period, only 13 publications were assessed based on the search strings utilized in this study, considering the decision and efforts made after COVID-19 among the participating architectural schools. Practical implications – This study will prove helpful to architecture schools, studio education researchers and the architecture board of studies. Social implications – This study intends to promote blended learning and enables the student to access the materials from anywhere at any time while enjoying the benefits of face-to-face (F2F) support and instruction. Originality/value – This is the first review paper for architecture studio education post-COVID-19, as well as the first to use a TR approach to analyze the available literature on the subject. The focus on the post-COVID-19 period and the use of TR allow for a comprehensive understanding of the trends and patterns in the literature on the direction of future studio education in architecture schools. Additionally, this research aligns with the United Nations Sustainable Development Goal 4 on ensuring inclusive and equitable quality education and promoting lifelong learning opportunities for all, as it seeks to address the challenges and opportunities presented","author":[{"dropping-particle":"","family":"Zairul","given":"Mohd","non-dropping-particle":"","parse-names":false,"suffix":""},{"dropping-particle":"","family":"Azli","given":"Mohd","non-dropping-particle":"","parse-names":false,"suffix":""},{"dropping-particle":"","family":"Azlan","given":"Aznida","non-dropping-particle":"","parse-names":false,"suffix":""}],"container-title":"Archnet-IJAR: International Journal of Architectural Research","id":"ITEM-3","issued":{"date-parts":[["2023","3"]]},"title":"Defying tradition or maintaining the status quo? Moving towards a new hybrid architecture studio education to support blended learning post-COVID-19","type":"article-journal"},"uris":["http://www.mendeley.com/documents/?uuid=ffaa41d9-f9be-4b6a-84d5-567ce85934e6","http://www.mendeley.com/documents/?uuid=d95dd09c-e399-48bf-af55-c5ff9364c76b"]},{"id":"ITEM-4","itemData":{"DOI":"10.47836/pjssh.29.1.35","abstract":"IBS has been theoretically and practically proven to improve the construction delivery apart from reducing the lead of time and cost throughout its supply chain. Under the Malaysian Construction Industry Transformation Programme (CITP) 2016-2020, it is stated that the government is accelerating the adoption of IBS through mechanisation and modern practices. Despite the government’s initiative, there have been relatively small amounts of materials published discussing the patterns in IBS publications in Malaysia and what the future holds for IBS. This paper explores a thematic review of the literature regarding new definitions and patterns that juxtaposes IBS in the construction industry in Malaysia from 2015 till 2019 by using the thematic review. The findings from the code-to-document analysis using ATLAS.ti 8 found that the patterns and trends on IBS from the year 2015 to 2019. This paper contributes to analysing the patterns and trends of IBS by identifying the thematic code within IBS publications for recommendations of future studies on IBS in Malaysia.","author":[{"dropping-particle":"","family":"Zairul","given":"Mohd","non-dropping-particle":"","parse-names":false,"suffix":""}],"container-title":"Pertanika Journal of Social Sciences and Humanities","id":"ITEM-4","issue":"1","issued":{"date-parts":[["2021"]]},"page":"635-652","title":"A thematic Review on Industrialised Building System (IBS) Publications from 2015-2019: Analysis of Patterns and Trends for Future Studies of IBS in Malaysia","type":"article-journal","volume":"29"},"uris":["http://www.mendeley.com/documents/?uuid=9ce902bf-5d25-455f-8033-3278d8838f2b","http://www.mendeley.com/documents/?uuid=a76de236-79df-4bcd-9e6b-00b0be4a24dc"]}],"mendeley":{"formattedCitation":"(Zairul, 2021b, 2021a; Zairul et al., 2023; Zairul &amp; Mohd Zairul, 2020)","manualFormatting":"(Zairul, 2021b, 2021a; Zairul et al., 2023; Zairul &amp; Zairul, 2020)","plainTextFormattedCitation":"(Zairul, 2021b, 2021a; Zairul et al., 2023; Zairul &amp; Mohd Zairul, 2020)","previouslyFormattedCitation":"(Zairul, 2021b, 2021a; Zairul et al., 2023; Zairul &amp; Mohd Zairul, 2020)"},"properties":{"noteIndex":0},"schema":"https://github.com/citation-style-language/schema/raw/master/csl-citation.json"}</w:instrText>
      </w:r>
      <w:r w:rsidRPr="00000592">
        <w:rPr>
          <w:rFonts w:ascii="Calibri" w:hAnsi="Calibri" w:cs="Calibri"/>
          <w:sz w:val="24"/>
          <w:szCs w:val="24"/>
        </w:rPr>
        <w:fldChar w:fldCharType="separate"/>
      </w:r>
      <w:r w:rsidRPr="00000592">
        <w:rPr>
          <w:rFonts w:ascii="Calibri" w:hAnsi="Calibri" w:cs="Calibri"/>
          <w:noProof/>
          <w:sz w:val="24"/>
          <w:szCs w:val="24"/>
        </w:rPr>
        <w:t>Zairul (2021b, 2021a), Zairul et al. (2023) and Zairul &amp; Zairul (2020)</w:t>
      </w:r>
      <w:r w:rsidRPr="00000592">
        <w:rPr>
          <w:rFonts w:ascii="Calibri" w:hAnsi="Calibri" w:cs="Calibri"/>
          <w:sz w:val="24"/>
          <w:szCs w:val="24"/>
        </w:rPr>
        <w:fldChar w:fldCharType="end"/>
      </w:r>
      <w:r w:rsidRPr="00000592">
        <w:rPr>
          <w:rFonts w:ascii="Calibri" w:hAnsi="Calibri" w:cs="Calibri"/>
          <w:sz w:val="24"/>
          <w:szCs w:val="24"/>
        </w:rPr>
        <w:t>,</w:t>
      </w:r>
      <w:r w:rsidRPr="00000592">
        <w:rPr>
          <w:rFonts w:ascii="Calibri" w:hAnsi="Calibri" w:cs="Calibri"/>
          <w:color w:val="0D0D0D"/>
          <w:sz w:val="24"/>
          <w:szCs w:val="24"/>
          <w:shd w:val="clear" w:color="auto" w:fill="FFFFFF"/>
        </w:rPr>
        <w:t xml:space="preserve"> who hold copyright protection with registration number CRLY2023W02032. The TreZ is incorporated into the analysis because it aligns with the systematic thematic analysis procedures necessary for conducting a thorough literature review. </w:t>
      </w:r>
      <w:r w:rsidRPr="00000592">
        <w:rPr>
          <w:rFonts w:ascii="Calibri" w:hAnsi="Calibri" w:cs="Calibri"/>
          <w:sz w:val="24"/>
          <w:szCs w:val="24"/>
        </w:rPr>
        <w:fldChar w:fldCharType="begin" w:fldLock="1"/>
      </w:r>
      <w:r w:rsidRPr="00000592">
        <w:rPr>
          <w:rFonts w:ascii="Calibri" w:hAnsi="Calibri" w:cs="Calibri"/>
          <w:sz w:val="24"/>
          <w:szCs w:val="24"/>
        </w:rPr>
        <w:instrText>ADDIN CSL_CITATION {"citationItems":[{"id":"ITEM-1","itemData":{"author":[{"dropping-particle":"","family":"Zairul","given":"Mohd","non-dropping-particle":"","parse-names":false,"suffix":""}],"id":"ITEM-1","issued":{"date-parts":[["2023"]]},"number":"CRLY2023W02032","publisher":"Controller of Copyright","publisher-place":"Malaysia","title":"Thematic Review template","type":"patent"},"uris":["http://www.mendeley.com/documents/?uuid=8ef516cd-3b73-4602-aefe-fb7e27505458","http://www.mendeley.com/documents/?uuid=2e8a54b9-d421-4d2c-ad53-f017940ef8ba"]}],"mendeley":{"formattedCitation":"(Zairul, 2023)","plainTextFormattedCitation":"(Zairul, 2023)","previouslyFormattedCitation":"(Zairul, 2023)"},"properties":{"noteIndex":0},"schema":"https://github.com/citation-style-language/schema/raw/master/csl-citation.json"}</w:instrText>
      </w:r>
      <w:r w:rsidRPr="00000592">
        <w:rPr>
          <w:rFonts w:ascii="Calibri" w:hAnsi="Calibri" w:cs="Calibri"/>
          <w:sz w:val="24"/>
          <w:szCs w:val="24"/>
        </w:rPr>
        <w:fldChar w:fldCharType="separate"/>
      </w:r>
      <w:r w:rsidRPr="00000592">
        <w:rPr>
          <w:rFonts w:ascii="Calibri" w:hAnsi="Calibri" w:cs="Calibri"/>
          <w:noProof/>
          <w:sz w:val="24"/>
          <w:szCs w:val="24"/>
        </w:rPr>
        <w:t>(Zairul, 2023)</w:t>
      </w:r>
      <w:r w:rsidRPr="00000592">
        <w:rPr>
          <w:rFonts w:ascii="Calibri" w:hAnsi="Calibri" w:cs="Calibri"/>
          <w:sz w:val="24"/>
          <w:szCs w:val="24"/>
        </w:rPr>
        <w:fldChar w:fldCharType="end"/>
      </w:r>
      <w:r w:rsidRPr="00000592">
        <w:rPr>
          <w:rFonts w:ascii="Calibri" w:hAnsi="Calibri" w:cs="Calibri"/>
          <w:color w:val="0D0D0D"/>
          <w:sz w:val="24"/>
          <w:szCs w:val="24"/>
          <w:shd w:val="clear" w:color="auto" w:fill="FFFFFF"/>
        </w:rPr>
        <w:t xml:space="preserve">. This meticulous approach allows the researcher to </w:t>
      </w:r>
      <w:proofErr w:type="spellStart"/>
      <w:r w:rsidRPr="00000592">
        <w:rPr>
          <w:rFonts w:ascii="Calibri" w:hAnsi="Calibri" w:cs="Calibri"/>
          <w:color w:val="0D0D0D"/>
          <w:sz w:val="24"/>
          <w:szCs w:val="24"/>
          <w:shd w:val="clear" w:color="auto" w:fill="FFFFFF"/>
        </w:rPr>
        <w:t>synthesise</w:t>
      </w:r>
      <w:proofErr w:type="spellEnd"/>
      <w:r w:rsidRPr="00000592">
        <w:rPr>
          <w:rFonts w:ascii="Calibri" w:hAnsi="Calibri" w:cs="Calibri"/>
          <w:color w:val="0D0D0D"/>
          <w:sz w:val="24"/>
          <w:szCs w:val="24"/>
          <w:shd w:val="clear" w:color="auto" w:fill="FFFFFF"/>
        </w:rPr>
        <w:t xml:space="preserve"> insights and draw meaningful conclusions from the literature reviewed.</w:t>
      </w:r>
    </w:p>
    <w:p w14:paraId="4AF8FCFA" w14:textId="77777777" w:rsidR="00B23396" w:rsidRPr="00000592" w:rsidRDefault="00B23396" w:rsidP="00B23396">
      <w:pPr>
        <w:spacing w:after="0" w:line="240" w:lineRule="auto"/>
        <w:jc w:val="center"/>
        <w:rPr>
          <w:rFonts w:ascii="Calibri" w:hAnsi="Calibri" w:cs="Calibri"/>
          <w:color w:val="0D0D0D"/>
          <w:sz w:val="24"/>
          <w:szCs w:val="24"/>
          <w:shd w:val="clear" w:color="auto" w:fill="FFFFFF"/>
        </w:rPr>
      </w:pPr>
      <w:r w:rsidRPr="00000592">
        <w:rPr>
          <w:rFonts w:ascii="Calibri" w:hAnsi="Calibri" w:cs="Calibri"/>
          <w:noProof/>
          <w:color w:val="0D0D0D"/>
          <w:sz w:val="24"/>
          <w:szCs w:val="24"/>
          <w:shd w:val="clear" w:color="auto" w:fill="FFFFFF"/>
        </w:rPr>
        <w:lastRenderedPageBreak/>
        <w:drawing>
          <wp:inline distT="0" distB="0" distL="0" distR="0" wp14:anchorId="2496216C" wp14:editId="27028FCC">
            <wp:extent cx="5729605" cy="2392680"/>
            <wp:effectExtent l="0" t="0" r="4445" b="7620"/>
            <wp:docPr id="126394775"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4775" name="Picture 1" descr="A diagram of a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7625" cy="2400205"/>
                    </a:xfrm>
                    <a:prstGeom prst="rect">
                      <a:avLst/>
                    </a:prstGeom>
                  </pic:spPr>
                </pic:pic>
              </a:graphicData>
            </a:graphic>
          </wp:inline>
        </w:drawing>
      </w:r>
    </w:p>
    <w:p w14:paraId="4D0DF23D" w14:textId="6D84E744" w:rsidR="00B23396" w:rsidRPr="00B23396" w:rsidRDefault="00B23396" w:rsidP="00B23396">
      <w:pPr>
        <w:spacing w:after="0" w:line="240" w:lineRule="auto"/>
        <w:rPr>
          <w:rFonts w:ascii="Calibri" w:hAnsi="Calibri" w:cs="Calibri"/>
          <w:color w:val="0D0D0D"/>
          <w:sz w:val="24"/>
          <w:szCs w:val="24"/>
          <w:shd w:val="clear" w:color="auto" w:fill="FFFFFF"/>
        </w:rPr>
      </w:pPr>
      <w:r w:rsidRPr="00B23396">
        <w:rPr>
          <w:rFonts w:ascii="Calibri" w:hAnsi="Calibri" w:cs="Calibri"/>
          <w:color w:val="0D0D0D"/>
          <w:sz w:val="24"/>
          <w:szCs w:val="24"/>
          <w:shd w:val="clear" w:color="auto" w:fill="FFFFFF"/>
        </w:rPr>
        <w:t xml:space="preserve">Figure </w:t>
      </w:r>
      <w:r w:rsidRPr="00B23396">
        <w:rPr>
          <w:rFonts w:ascii="Calibri" w:hAnsi="Calibri" w:cs="Calibri"/>
          <w:color w:val="0D0D0D"/>
          <w:sz w:val="24"/>
          <w:szCs w:val="24"/>
          <w:shd w:val="clear" w:color="auto" w:fill="FFFFFF"/>
        </w:rPr>
        <w:fldChar w:fldCharType="begin"/>
      </w:r>
      <w:r w:rsidRPr="00B23396">
        <w:rPr>
          <w:rFonts w:ascii="Calibri" w:hAnsi="Calibri" w:cs="Calibri"/>
          <w:color w:val="0D0D0D"/>
          <w:sz w:val="24"/>
          <w:szCs w:val="24"/>
          <w:shd w:val="clear" w:color="auto" w:fill="FFFFFF"/>
        </w:rPr>
        <w:instrText xml:space="preserve"> SEQ Figure \* ARABIC </w:instrText>
      </w:r>
      <w:r w:rsidRPr="00B23396">
        <w:rPr>
          <w:rFonts w:ascii="Calibri" w:hAnsi="Calibri" w:cs="Calibri"/>
          <w:color w:val="0D0D0D"/>
          <w:sz w:val="24"/>
          <w:szCs w:val="24"/>
          <w:shd w:val="clear" w:color="auto" w:fill="FFFFFF"/>
        </w:rPr>
        <w:fldChar w:fldCharType="separate"/>
      </w:r>
      <w:r w:rsidR="00174DF2">
        <w:rPr>
          <w:rFonts w:ascii="Calibri" w:hAnsi="Calibri" w:cs="Calibri"/>
          <w:noProof/>
          <w:color w:val="0D0D0D"/>
          <w:sz w:val="24"/>
          <w:szCs w:val="24"/>
          <w:shd w:val="clear" w:color="auto" w:fill="FFFFFF"/>
        </w:rPr>
        <w:t>1</w:t>
      </w:r>
      <w:r w:rsidRPr="00B23396">
        <w:rPr>
          <w:rFonts w:ascii="Calibri" w:hAnsi="Calibri" w:cs="Calibri"/>
          <w:color w:val="0D0D0D"/>
          <w:sz w:val="24"/>
          <w:szCs w:val="24"/>
          <w:shd w:val="clear" w:color="auto" w:fill="FFFFFF"/>
        </w:rPr>
        <w:fldChar w:fldCharType="end"/>
      </w:r>
      <w:r w:rsidRPr="00B23396">
        <w:rPr>
          <w:rFonts w:ascii="Calibri" w:hAnsi="Calibri" w:cs="Calibri"/>
          <w:color w:val="0D0D0D"/>
          <w:sz w:val="24"/>
          <w:szCs w:val="24"/>
          <w:shd w:val="clear" w:color="auto" w:fill="FFFFFF"/>
        </w:rPr>
        <w:t xml:space="preserve">: Thematic Review </w:t>
      </w:r>
      <w:proofErr w:type="spellStart"/>
      <w:r w:rsidRPr="00B23396">
        <w:rPr>
          <w:rFonts w:ascii="Calibri" w:hAnsi="Calibri" w:cs="Calibri"/>
          <w:color w:val="0D0D0D"/>
          <w:sz w:val="24"/>
          <w:szCs w:val="24"/>
          <w:shd w:val="clear" w:color="auto" w:fill="FFFFFF"/>
        </w:rPr>
        <w:t>FlowZ</w:t>
      </w:r>
      <w:proofErr w:type="spellEnd"/>
      <w:r w:rsidRPr="00B23396">
        <w:rPr>
          <w:rFonts w:ascii="Calibri" w:hAnsi="Calibri" w:cs="Calibri"/>
          <w:color w:val="0D0D0D"/>
          <w:sz w:val="24"/>
          <w:szCs w:val="24"/>
          <w:shd w:val="clear" w:color="auto" w:fill="FFFFFF"/>
        </w:rPr>
        <w:t xml:space="preserve"> (TreZ)</w:t>
      </w:r>
    </w:p>
    <w:p w14:paraId="2B12EBD2" w14:textId="77777777" w:rsidR="00B23396" w:rsidRPr="00000592" w:rsidRDefault="00B23396" w:rsidP="00B23396">
      <w:pPr>
        <w:spacing w:after="0" w:line="240" w:lineRule="auto"/>
        <w:jc w:val="both"/>
        <w:rPr>
          <w:rFonts w:ascii="Calibri" w:hAnsi="Calibri" w:cs="Calibri"/>
          <w:i/>
          <w:iCs/>
          <w:color w:val="0D0D0D"/>
          <w:sz w:val="24"/>
          <w:szCs w:val="24"/>
          <w:shd w:val="clear" w:color="auto" w:fill="FFFFFF"/>
        </w:rPr>
      </w:pPr>
      <w:r w:rsidRPr="00000592">
        <w:rPr>
          <w:rFonts w:ascii="Calibri" w:hAnsi="Calibri" w:cs="Calibri"/>
          <w:color w:val="0D0D0D"/>
          <w:sz w:val="24"/>
          <w:szCs w:val="24"/>
          <w:shd w:val="clear" w:color="auto" w:fill="FFFFFF"/>
        </w:rPr>
        <w:t>The process began with formulating the research question: "What are the current trends in sustainability within Waqf, as discussed from 2018 to 2024?" This question served as a roadmap for the subsequent stages of the review, clearly establishing both the focus and scope. The next step, article screening (Screen) (see Table 1), involved identifying and selecting studies based on their relevance to the research question. This was followed by the article filtering stage (Filter) (refer to Figure 2), during which inclusion and exclusion criteria were applied to refine the selection further, ensuring that only the most pertinent articles were retained for analysis. The fourth step, cleaning (</w:t>
      </w:r>
      <w:proofErr w:type="spellStart"/>
      <w:r w:rsidRPr="00000592">
        <w:rPr>
          <w:rFonts w:ascii="Calibri" w:hAnsi="Calibri" w:cs="Calibri"/>
          <w:color w:val="0D0D0D"/>
          <w:sz w:val="24"/>
          <w:szCs w:val="24"/>
          <w:shd w:val="clear" w:color="auto" w:fill="FFFFFF"/>
        </w:rPr>
        <w:t>Finalise</w:t>
      </w:r>
      <w:proofErr w:type="spellEnd"/>
      <w:r w:rsidRPr="00000592">
        <w:rPr>
          <w:rFonts w:ascii="Calibri" w:hAnsi="Calibri" w:cs="Calibri"/>
          <w:color w:val="0D0D0D"/>
          <w:sz w:val="24"/>
          <w:szCs w:val="24"/>
          <w:shd w:val="clear" w:color="auto" w:fill="FFFFFF"/>
        </w:rPr>
        <w:t xml:space="preserve">) (illustrated in Figure X), entailed a thorough review of the articles' metadata to confirm the accuracy and completeness of the data. Finally, the last step involved data extraction (Synthesis) (Figure X), where a thematic analysis is conducted using tools such as </w:t>
      </w:r>
      <w:proofErr w:type="spellStart"/>
      <w:r w:rsidRPr="00000592">
        <w:rPr>
          <w:rFonts w:ascii="Calibri" w:hAnsi="Calibri" w:cs="Calibri"/>
          <w:color w:val="0D0D0D"/>
          <w:sz w:val="24"/>
          <w:szCs w:val="24"/>
          <w:shd w:val="clear" w:color="auto" w:fill="FFFFFF"/>
        </w:rPr>
        <w:t>ATLAS.ti</w:t>
      </w:r>
      <w:proofErr w:type="spellEnd"/>
      <w:r w:rsidRPr="00000592">
        <w:rPr>
          <w:rFonts w:ascii="Calibri" w:hAnsi="Calibri" w:cs="Calibri"/>
          <w:color w:val="0D0D0D"/>
          <w:sz w:val="24"/>
          <w:szCs w:val="24"/>
          <w:shd w:val="clear" w:color="auto" w:fill="FFFFFF"/>
        </w:rPr>
        <w:t>. This analysis aims to develop themes through extensive reading of the subject matter in the selected articles. This structured approach enhances the reliability and depth of the review, ensuring a comprehensive analysis of the literature.</w:t>
      </w:r>
    </w:p>
    <w:p w14:paraId="2815325D" w14:textId="77777777" w:rsidR="00B23396" w:rsidRDefault="00B23396" w:rsidP="00B23396">
      <w:pPr>
        <w:keepNext/>
        <w:pBdr>
          <w:top w:val="nil"/>
          <w:left w:val="nil"/>
          <w:bottom w:val="nil"/>
          <w:right w:val="nil"/>
          <w:between w:val="nil"/>
        </w:pBdr>
        <w:spacing w:after="0" w:line="240" w:lineRule="auto"/>
        <w:rPr>
          <w:rFonts w:ascii="Calibri" w:hAnsi="Calibri" w:cs="Calibri"/>
          <w:i/>
          <w:color w:val="000000"/>
          <w:sz w:val="24"/>
          <w:szCs w:val="24"/>
        </w:rPr>
      </w:pPr>
    </w:p>
    <w:p w14:paraId="0A52138C" w14:textId="77777777" w:rsidR="00B23396" w:rsidRPr="00B23396" w:rsidRDefault="00B23396" w:rsidP="00B23396">
      <w:pPr>
        <w:keepNext/>
        <w:pBdr>
          <w:top w:val="nil"/>
          <w:left w:val="nil"/>
          <w:bottom w:val="nil"/>
          <w:right w:val="nil"/>
          <w:between w:val="nil"/>
        </w:pBdr>
        <w:spacing w:after="0" w:line="240" w:lineRule="auto"/>
        <w:rPr>
          <w:rFonts w:ascii="Calibri" w:hAnsi="Calibri" w:cs="Calibri"/>
          <w:iCs/>
          <w:color w:val="000000"/>
          <w:sz w:val="24"/>
          <w:szCs w:val="24"/>
        </w:rPr>
      </w:pPr>
      <w:r w:rsidRPr="00B23396">
        <w:rPr>
          <w:rFonts w:ascii="Calibri" w:hAnsi="Calibri" w:cs="Calibri"/>
          <w:iCs/>
          <w:color w:val="000000"/>
          <w:sz w:val="24"/>
          <w:szCs w:val="24"/>
        </w:rPr>
        <w:t>Table 1</w:t>
      </w:r>
    </w:p>
    <w:p w14:paraId="0FEDB314" w14:textId="55E6D2CF" w:rsidR="00B23396" w:rsidRPr="00000592" w:rsidRDefault="00B23396" w:rsidP="00B23396">
      <w:pPr>
        <w:keepNext/>
        <w:pBdr>
          <w:top w:val="nil"/>
          <w:left w:val="nil"/>
          <w:bottom w:val="nil"/>
          <w:right w:val="nil"/>
          <w:between w:val="nil"/>
        </w:pBdr>
        <w:spacing w:after="0" w:line="240" w:lineRule="auto"/>
        <w:rPr>
          <w:rFonts w:ascii="Calibri" w:hAnsi="Calibri" w:cs="Calibri"/>
          <w:i/>
          <w:color w:val="000000"/>
          <w:sz w:val="24"/>
          <w:szCs w:val="24"/>
        </w:rPr>
      </w:pPr>
      <w:r w:rsidRPr="00000592">
        <w:rPr>
          <w:rFonts w:ascii="Calibri" w:hAnsi="Calibri" w:cs="Calibri"/>
          <w:i/>
          <w:color w:val="000000"/>
          <w:sz w:val="24"/>
          <w:szCs w:val="24"/>
        </w:rPr>
        <w:t xml:space="preserve">Search Strings from Scopus and </w:t>
      </w:r>
      <w:proofErr w:type="spellStart"/>
      <w:r w:rsidRPr="00000592">
        <w:rPr>
          <w:rFonts w:ascii="Calibri" w:hAnsi="Calibri" w:cs="Calibri"/>
          <w:i/>
          <w:color w:val="000000"/>
          <w:sz w:val="24"/>
          <w:szCs w:val="24"/>
        </w:rPr>
        <w:t>WoS</w:t>
      </w:r>
      <w:proofErr w:type="spellEnd"/>
    </w:p>
    <w:tbl>
      <w:tblPr>
        <w:tblStyle w:val="12"/>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1272"/>
        <w:gridCol w:w="6467"/>
        <w:gridCol w:w="1281"/>
      </w:tblGrid>
      <w:tr w:rsidR="00B23396" w:rsidRPr="00B23396" w14:paraId="42152E67" w14:textId="77777777" w:rsidTr="00B23396">
        <w:tc>
          <w:tcPr>
            <w:tcW w:w="705" w:type="pct"/>
          </w:tcPr>
          <w:p w14:paraId="2CFBCD4D" w14:textId="77777777" w:rsidR="00B23396" w:rsidRPr="00B23396" w:rsidRDefault="00B23396" w:rsidP="005B49F1">
            <w:pPr>
              <w:spacing w:after="0" w:line="240" w:lineRule="auto"/>
              <w:rPr>
                <w:rFonts w:ascii="Calibri" w:hAnsi="Calibri" w:cs="Calibri"/>
                <w:b/>
              </w:rPr>
            </w:pPr>
            <w:bookmarkStart w:id="17" w:name="_heading=h.3znysh7" w:colFirst="0" w:colLast="0"/>
            <w:bookmarkEnd w:id="17"/>
            <w:r w:rsidRPr="00B23396">
              <w:rPr>
                <w:rFonts w:ascii="Calibri" w:hAnsi="Calibri" w:cs="Calibri"/>
                <w:b/>
              </w:rPr>
              <w:t>SCOPUS</w:t>
            </w:r>
          </w:p>
        </w:tc>
        <w:tc>
          <w:tcPr>
            <w:tcW w:w="3585" w:type="pct"/>
          </w:tcPr>
          <w:p w14:paraId="52FFBDF1" w14:textId="77777777" w:rsidR="00B23396" w:rsidRPr="00B23396" w:rsidRDefault="00B23396" w:rsidP="005B49F1">
            <w:pPr>
              <w:shd w:val="clear" w:color="auto" w:fill="FFFFFF"/>
              <w:spacing w:after="0" w:line="240" w:lineRule="auto"/>
              <w:rPr>
                <w:rFonts w:ascii="Calibri" w:hAnsi="Calibri" w:cs="Calibri"/>
                <w:shd w:val="clear" w:color="auto" w:fill="FFFFFF"/>
              </w:rPr>
            </w:pPr>
            <w:r w:rsidRPr="00B23396">
              <w:rPr>
                <w:rFonts w:ascii="Calibri" w:hAnsi="Calibri" w:cs="Calibri"/>
                <w:shd w:val="clear" w:color="auto" w:fill="FFFFFF"/>
              </w:rPr>
              <w:t>Advanced Query</w:t>
            </w:r>
          </w:p>
          <w:p w14:paraId="38269E84" w14:textId="77777777" w:rsidR="00B23396" w:rsidRPr="00B23396" w:rsidRDefault="00B23396" w:rsidP="005B49F1">
            <w:pPr>
              <w:shd w:val="clear" w:color="auto" w:fill="FFFFFF"/>
              <w:spacing w:after="0" w:line="240" w:lineRule="auto"/>
              <w:rPr>
                <w:rFonts w:ascii="Calibri" w:hAnsi="Calibri" w:cs="Calibri"/>
                <w:shd w:val="clear" w:color="auto" w:fill="FFFFFF"/>
              </w:rPr>
            </w:pPr>
            <w:proofErr w:type="gramStart"/>
            <w:r w:rsidRPr="00B23396">
              <w:rPr>
                <w:rFonts w:ascii="Calibri" w:hAnsi="Calibri" w:cs="Calibri"/>
                <w:shd w:val="clear" w:color="auto" w:fill="FFFFFF"/>
              </w:rPr>
              <w:t>( TITLE</w:t>
            </w:r>
            <w:proofErr w:type="gramEnd"/>
            <w:r w:rsidRPr="00B23396">
              <w:rPr>
                <w:rFonts w:ascii="Calibri" w:hAnsi="Calibri" w:cs="Calibri"/>
                <w:shd w:val="clear" w:color="auto" w:fill="FFFFFF"/>
              </w:rPr>
              <w:t>-ABS-KEY ( waqf ) AND TITLE-ABS-KEY ( sustainability ) ) AND PUBYEAR &gt; 2018 AND PUBYEAR &lt; 2024 AND ( LIMIT-TO ( DOCTYPE , "</w:t>
            </w:r>
            <w:proofErr w:type="spellStart"/>
            <w:r w:rsidRPr="00B23396">
              <w:rPr>
                <w:rFonts w:ascii="Calibri" w:hAnsi="Calibri" w:cs="Calibri"/>
                <w:shd w:val="clear" w:color="auto" w:fill="FFFFFF"/>
              </w:rPr>
              <w:t>ar</w:t>
            </w:r>
            <w:proofErr w:type="spellEnd"/>
            <w:r w:rsidRPr="00B23396">
              <w:rPr>
                <w:rFonts w:ascii="Calibri" w:hAnsi="Calibri" w:cs="Calibri"/>
                <w:shd w:val="clear" w:color="auto" w:fill="FFFFFF"/>
              </w:rPr>
              <w:t>" ) ) AND ( LIMIT-TO ( OA , "all" ) ) AND ( LIMIT-TO ( PUBSTAGE , "final" ) ) AND ( LIMIT-TO ( LANGUAGE , "English" ) ) AND ( LIMIT-TO ( SRCTYPE , "j" ) )</w:t>
            </w:r>
          </w:p>
          <w:p w14:paraId="3C9C113C" w14:textId="77777777" w:rsidR="00B23396" w:rsidRPr="00B23396" w:rsidRDefault="00B23396" w:rsidP="005B49F1">
            <w:pPr>
              <w:tabs>
                <w:tab w:val="left" w:pos="3780"/>
              </w:tabs>
              <w:spacing w:after="0" w:line="240" w:lineRule="auto"/>
              <w:rPr>
                <w:rFonts w:ascii="Calibri" w:hAnsi="Calibri" w:cs="Calibri"/>
              </w:rPr>
            </w:pPr>
          </w:p>
        </w:tc>
        <w:tc>
          <w:tcPr>
            <w:tcW w:w="710" w:type="pct"/>
          </w:tcPr>
          <w:p w14:paraId="4A4DF81F" w14:textId="77777777" w:rsidR="00B23396" w:rsidRPr="00B23396" w:rsidRDefault="00B23396" w:rsidP="005B49F1">
            <w:pPr>
              <w:spacing w:after="0" w:line="240" w:lineRule="auto"/>
              <w:rPr>
                <w:rFonts w:ascii="Calibri" w:hAnsi="Calibri" w:cs="Calibri"/>
                <w:b/>
                <w:bCs/>
              </w:rPr>
            </w:pPr>
            <w:r w:rsidRPr="00B23396">
              <w:rPr>
                <w:rFonts w:ascii="Calibri" w:hAnsi="Calibri" w:cs="Calibri"/>
                <w:b/>
                <w:bCs/>
              </w:rPr>
              <w:t>26 results</w:t>
            </w:r>
          </w:p>
          <w:p w14:paraId="2C34A87C" w14:textId="77777777" w:rsidR="00B23396" w:rsidRPr="00B23396" w:rsidRDefault="00B23396" w:rsidP="005B49F1">
            <w:pPr>
              <w:spacing w:after="0" w:line="240" w:lineRule="auto"/>
              <w:rPr>
                <w:rFonts w:ascii="Calibri" w:hAnsi="Calibri" w:cs="Calibri"/>
              </w:rPr>
            </w:pPr>
          </w:p>
          <w:p w14:paraId="7B30741C" w14:textId="77777777" w:rsidR="00B23396" w:rsidRPr="00B23396" w:rsidRDefault="00B23396" w:rsidP="005B49F1">
            <w:pPr>
              <w:spacing w:after="0" w:line="240" w:lineRule="auto"/>
              <w:rPr>
                <w:rFonts w:ascii="Calibri" w:hAnsi="Calibri" w:cs="Calibri"/>
              </w:rPr>
            </w:pPr>
          </w:p>
          <w:p w14:paraId="0CE358ED" w14:textId="77777777" w:rsidR="00B23396" w:rsidRPr="00B23396" w:rsidRDefault="00B23396" w:rsidP="005B49F1">
            <w:pPr>
              <w:spacing w:after="0" w:line="240" w:lineRule="auto"/>
              <w:rPr>
                <w:rFonts w:ascii="Calibri" w:hAnsi="Calibri" w:cs="Calibri"/>
              </w:rPr>
            </w:pPr>
          </w:p>
          <w:p w14:paraId="08D72E3A" w14:textId="77777777" w:rsidR="00B23396" w:rsidRPr="00B23396" w:rsidRDefault="00B23396" w:rsidP="005B49F1">
            <w:pPr>
              <w:spacing w:after="0" w:line="240" w:lineRule="auto"/>
              <w:rPr>
                <w:rFonts w:ascii="Calibri" w:hAnsi="Calibri" w:cs="Calibri"/>
              </w:rPr>
            </w:pPr>
          </w:p>
        </w:tc>
      </w:tr>
      <w:tr w:rsidR="00B23396" w:rsidRPr="00B23396" w14:paraId="253C3FDB" w14:textId="77777777" w:rsidTr="00B23396">
        <w:trPr>
          <w:trHeight w:val="724"/>
        </w:trPr>
        <w:tc>
          <w:tcPr>
            <w:tcW w:w="705" w:type="pct"/>
          </w:tcPr>
          <w:p w14:paraId="41A1FC43" w14:textId="77777777" w:rsidR="00B23396" w:rsidRPr="00B23396" w:rsidRDefault="00B23396" w:rsidP="005B49F1">
            <w:pPr>
              <w:tabs>
                <w:tab w:val="left" w:pos="3780"/>
              </w:tabs>
              <w:spacing w:after="0" w:line="240" w:lineRule="auto"/>
              <w:rPr>
                <w:rFonts w:ascii="Calibri" w:hAnsi="Calibri" w:cs="Calibri"/>
                <w:b/>
              </w:rPr>
            </w:pPr>
            <w:r w:rsidRPr="00B23396">
              <w:rPr>
                <w:rFonts w:ascii="Calibri" w:hAnsi="Calibri" w:cs="Calibri"/>
                <w:b/>
              </w:rPr>
              <w:t>Web of Science (</w:t>
            </w:r>
            <w:proofErr w:type="spellStart"/>
            <w:r w:rsidRPr="00B23396">
              <w:rPr>
                <w:rFonts w:ascii="Calibri" w:hAnsi="Calibri" w:cs="Calibri"/>
                <w:b/>
              </w:rPr>
              <w:t>WoS</w:t>
            </w:r>
            <w:proofErr w:type="spellEnd"/>
            <w:r w:rsidRPr="00B23396">
              <w:rPr>
                <w:rFonts w:ascii="Calibri" w:hAnsi="Calibri" w:cs="Calibri"/>
                <w:b/>
              </w:rPr>
              <w:t>)</w:t>
            </w:r>
          </w:p>
        </w:tc>
        <w:tc>
          <w:tcPr>
            <w:tcW w:w="3585" w:type="pct"/>
          </w:tcPr>
          <w:p w14:paraId="7E575DD1" w14:textId="77777777" w:rsidR="00B23396" w:rsidRPr="00B23396" w:rsidRDefault="00B23396" w:rsidP="005B49F1">
            <w:pPr>
              <w:tabs>
                <w:tab w:val="left" w:pos="3780"/>
              </w:tabs>
              <w:spacing w:after="0" w:line="240" w:lineRule="auto"/>
              <w:rPr>
                <w:rFonts w:ascii="Calibri" w:hAnsi="Calibri" w:cs="Calibri"/>
              </w:rPr>
            </w:pPr>
            <w:r w:rsidRPr="00B23396">
              <w:rPr>
                <w:rFonts w:ascii="Calibri" w:hAnsi="Calibri" w:cs="Calibri"/>
              </w:rPr>
              <w:t>Refine results for waqf (All Fields) AND sustainability (All Fields) and Open Access and 2018 or 2019 or 2020 or 2021 or 2022 or 2023 or 2024 (Publication Years) and English (Languages) and All Open Access (Open Access) and Article (Document Types) and English (Languages) and All Open Access (Open Access)</w:t>
            </w:r>
          </w:p>
        </w:tc>
        <w:tc>
          <w:tcPr>
            <w:tcW w:w="710" w:type="pct"/>
          </w:tcPr>
          <w:p w14:paraId="78B72611" w14:textId="77777777" w:rsidR="00B23396" w:rsidRPr="00B23396" w:rsidRDefault="00B23396" w:rsidP="005B49F1">
            <w:pPr>
              <w:spacing w:after="0" w:line="240" w:lineRule="auto"/>
              <w:rPr>
                <w:rFonts w:ascii="Calibri" w:hAnsi="Calibri" w:cs="Calibri"/>
                <w:b/>
                <w:bCs/>
              </w:rPr>
            </w:pPr>
            <w:r w:rsidRPr="00B23396">
              <w:rPr>
                <w:rFonts w:ascii="Calibri" w:hAnsi="Calibri" w:cs="Calibri"/>
                <w:b/>
                <w:bCs/>
              </w:rPr>
              <w:t>21 results</w:t>
            </w:r>
          </w:p>
        </w:tc>
      </w:tr>
    </w:tbl>
    <w:p w14:paraId="76F4929B" w14:textId="77777777" w:rsidR="00B23396" w:rsidRDefault="00B23396" w:rsidP="00B23396">
      <w:pPr>
        <w:spacing w:after="0" w:line="240" w:lineRule="auto"/>
        <w:jc w:val="both"/>
        <w:rPr>
          <w:rFonts w:ascii="Calibri" w:hAnsi="Calibri" w:cs="Calibri"/>
          <w:sz w:val="24"/>
          <w:szCs w:val="24"/>
        </w:rPr>
      </w:pPr>
      <w:r w:rsidRPr="00000592">
        <w:rPr>
          <w:rFonts w:ascii="Calibri" w:hAnsi="Calibri" w:cs="Calibri"/>
          <w:sz w:val="24"/>
          <w:szCs w:val="24"/>
        </w:rPr>
        <w:t xml:space="preserve">The next step involves identifying patterns and establishing categories to better understand the trends related to waqf and sustainability, as highlighted in the literature from 2018 to 2024. This research phase aims to </w:t>
      </w:r>
      <w:proofErr w:type="spellStart"/>
      <w:r w:rsidRPr="00000592">
        <w:rPr>
          <w:rFonts w:ascii="Calibri" w:hAnsi="Calibri" w:cs="Calibri"/>
          <w:sz w:val="24"/>
          <w:szCs w:val="24"/>
        </w:rPr>
        <w:t>analyse</w:t>
      </w:r>
      <w:proofErr w:type="spellEnd"/>
      <w:r w:rsidRPr="00000592">
        <w:rPr>
          <w:rFonts w:ascii="Calibri" w:hAnsi="Calibri" w:cs="Calibri"/>
          <w:sz w:val="24"/>
          <w:szCs w:val="24"/>
        </w:rPr>
        <w:t xml:space="preserve"> and interpret the findings to develop recommendations for future studies in waqf sustainability. Adopting this approach is essential in clarifying how these trends have evolved over time and in pinpointing new directions or </w:t>
      </w:r>
      <w:r w:rsidRPr="00000592">
        <w:rPr>
          <w:rFonts w:ascii="Calibri" w:hAnsi="Calibri" w:cs="Calibri"/>
          <w:sz w:val="24"/>
          <w:szCs w:val="24"/>
        </w:rPr>
        <w:lastRenderedPageBreak/>
        <w:t>innovations that could be vital for future advancements in these areas. To ensure a thorough and relevant analysis, the selection of literature for this review was guided by specific criteria: 1) a publication date range from 2018 to 2024, ensuring the research remains current and significant; 2) the inclusion of key terms such as 'Waqf' and 'Sustainability' in the literature, which focuses on studies directly pertinent to the core themes of this research. This systematic selection process aids in capturing a wide array of contemporary insights and developments in these fields.</w:t>
      </w:r>
    </w:p>
    <w:p w14:paraId="08B8DB26" w14:textId="77777777" w:rsidR="00B23396" w:rsidRPr="00000592" w:rsidRDefault="00B23396" w:rsidP="00B23396">
      <w:pPr>
        <w:spacing w:after="0" w:line="240" w:lineRule="auto"/>
        <w:jc w:val="both"/>
        <w:rPr>
          <w:rFonts w:ascii="Calibri" w:hAnsi="Calibri" w:cs="Calibri"/>
          <w:sz w:val="24"/>
          <w:szCs w:val="24"/>
          <w:highlight w:val="yellow"/>
        </w:rPr>
      </w:pPr>
    </w:p>
    <w:p w14:paraId="1FA9499C" w14:textId="77777777" w:rsidR="00B23396" w:rsidRPr="00000592" w:rsidRDefault="00B23396" w:rsidP="00B23396">
      <w:pPr>
        <w:spacing w:after="0" w:line="240" w:lineRule="auto"/>
        <w:jc w:val="both"/>
        <w:rPr>
          <w:rFonts w:ascii="Calibri" w:hAnsi="Calibri" w:cs="Calibri"/>
          <w:sz w:val="24"/>
          <w:szCs w:val="24"/>
          <w:highlight w:val="yellow"/>
        </w:rPr>
      </w:pPr>
      <w:r w:rsidRPr="00000592">
        <w:rPr>
          <w:rFonts w:ascii="Calibri" w:hAnsi="Calibri" w:cs="Calibri"/>
          <w:sz w:val="24"/>
          <w:szCs w:val="24"/>
        </w:rPr>
        <w:t xml:space="preserve">The literature review was conducted by searching two major academic databases, SCOPUS and Web of Science, selected for their extensive coverage of peer-reviewed journals relevant to waqf and sustainability. In SCOPUS, the search was conducted using the keywords "waqf" and "sustainability" in the title, abstract, and keywords </w:t>
      </w:r>
      <w:r w:rsidRPr="00000592">
        <w:rPr>
          <w:rFonts w:ascii="Calibri" w:hAnsi="Calibri" w:cs="Calibri"/>
          <w:b/>
          <w:bCs/>
          <w:sz w:val="24"/>
          <w:szCs w:val="24"/>
        </w:rPr>
        <w:t>(TITLE-ABS-KEY)</w:t>
      </w:r>
      <w:r w:rsidRPr="00000592">
        <w:rPr>
          <w:rFonts w:ascii="Calibri" w:hAnsi="Calibri" w:cs="Calibri"/>
          <w:sz w:val="24"/>
          <w:szCs w:val="24"/>
        </w:rPr>
        <w:t xml:space="preserve">, targeting publications released between 2018 and 2024. The search was restricted to academic articles in English that were open access </w:t>
      </w:r>
      <w:r w:rsidRPr="00000592">
        <w:rPr>
          <w:rFonts w:ascii="Calibri" w:hAnsi="Calibri" w:cs="Calibri"/>
          <w:b/>
          <w:bCs/>
          <w:sz w:val="24"/>
          <w:szCs w:val="24"/>
        </w:rPr>
        <w:t>(LIMIT-TO (DOCTYPE, "</w:t>
      </w:r>
      <w:proofErr w:type="spellStart"/>
      <w:r w:rsidRPr="00000592">
        <w:rPr>
          <w:rFonts w:ascii="Calibri" w:hAnsi="Calibri" w:cs="Calibri"/>
          <w:b/>
          <w:bCs/>
          <w:sz w:val="24"/>
          <w:szCs w:val="24"/>
        </w:rPr>
        <w:t>ar</w:t>
      </w:r>
      <w:proofErr w:type="spellEnd"/>
      <w:r w:rsidRPr="00000592">
        <w:rPr>
          <w:rFonts w:ascii="Calibri" w:hAnsi="Calibri" w:cs="Calibri"/>
          <w:b/>
          <w:bCs/>
          <w:sz w:val="24"/>
          <w:szCs w:val="24"/>
        </w:rPr>
        <w:t>"), LIMIT-TO (LANGUAGE, "English"), LIMIT-TO (OA, "all")).</w:t>
      </w:r>
      <w:r w:rsidRPr="00000592">
        <w:rPr>
          <w:rFonts w:ascii="Calibri" w:hAnsi="Calibri" w:cs="Calibri"/>
          <w:sz w:val="24"/>
          <w:szCs w:val="24"/>
        </w:rPr>
        <w:t xml:space="preserve"> This strategy identified 26 articles, indicating a substantial body of recent literature. In contrast, the Web of Science search was broader, using the exact keywords across all fields without specific restrictions and focusing solely on open-access articles in English. This approach yielded 21 results. The discrepancy in the number of articles retrieved from each database reflects differences in indexing depth, journal coverage, and the specifics of their search algorithms, providing a diverse array of articles for the review.</w:t>
      </w:r>
    </w:p>
    <w:p w14:paraId="5EEE9E0B" w14:textId="2A9A372D" w:rsidR="00B23396" w:rsidRDefault="00B23396" w:rsidP="00B23396">
      <w:pPr>
        <w:spacing w:after="0" w:line="240" w:lineRule="auto"/>
        <w:jc w:val="both"/>
        <w:rPr>
          <w:rFonts w:ascii="Calibri" w:hAnsi="Calibri" w:cs="Calibri"/>
          <w:sz w:val="24"/>
          <w:szCs w:val="24"/>
          <w:lang w:val="en-MY"/>
        </w:rPr>
      </w:pPr>
      <w:bookmarkStart w:id="18" w:name="_heading=h.2et92p0" w:colFirst="0" w:colLast="0"/>
      <w:bookmarkEnd w:id="18"/>
      <w:r w:rsidRPr="00000592">
        <w:rPr>
          <w:rFonts w:ascii="Calibri" w:hAnsi="Calibri" w:cs="Calibri"/>
          <w:sz w:val="24"/>
          <w:szCs w:val="24"/>
          <w:lang w:val="en-MY"/>
        </w:rPr>
        <w:t>In the context of a thematic review employing specific search strings, this research carefully outlined and implemented a selection process to identify relevant literature from two prominent academic databases, SCOPUS and Web of Science (</w:t>
      </w:r>
      <w:proofErr w:type="spellStart"/>
      <w:r w:rsidRPr="00000592">
        <w:rPr>
          <w:rFonts w:ascii="Calibri" w:hAnsi="Calibri" w:cs="Calibri"/>
          <w:sz w:val="24"/>
          <w:szCs w:val="24"/>
          <w:lang w:val="en-MY"/>
        </w:rPr>
        <w:t>WoS</w:t>
      </w:r>
      <w:proofErr w:type="spellEnd"/>
      <w:r w:rsidRPr="00000592">
        <w:rPr>
          <w:rFonts w:ascii="Calibri" w:hAnsi="Calibri" w:cs="Calibri"/>
          <w:sz w:val="24"/>
          <w:szCs w:val="24"/>
          <w:lang w:val="en-MY"/>
        </w:rPr>
        <w:t xml:space="preserve">). The researchers have detailed the methodological steps taken in this study, ensuring a rigorous selection of studies </w:t>
      </w:r>
      <w:r w:rsidRPr="00B23396">
        <w:rPr>
          <w:rFonts w:ascii="Calibri" w:hAnsi="Calibri" w:cs="Calibri"/>
          <w:sz w:val="24"/>
          <w:szCs w:val="24"/>
          <w:lang w:val="en-MY"/>
        </w:rPr>
        <w:t>validity and reliability of our review findings (see Table 1)</w:t>
      </w:r>
    </w:p>
    <w:p w14:paraId="52E7499B" w14:textId="77777777" w:rsidR="00B23396" w:rsidRPr="00B23396" w:rsidRDefault="00B23396" w:rsidP="00B23396">
      <w:pPr>
        <w:spacing w:after="0" w:line="240" w:lineRule="auto"/>
        <w:jc w:val="both"/>
        <w:rPr>
          <w:rFonts w:ascii="Calibri" w:hAnsi="Calibri" w:cs="Calibri"/>
          <w:sz w:val="24"/>
          <w:szCs w:val="24"/>
          <w:lang w:val="en-MY"/>
        </w:rPr>
      </w:pPr>
    </w:p>
    <w:p w14:paraId="0331E517" w14:textId="77777777" w:rsidR="00B23396" w:rsidRPr="006A7AE7" w:rsidRDefault="00B23396" w:rsidP="00B23396">
      <w:pPr>
        <w:jc w:val="both"/>
        <w:rPr>
          <w:rFonts w:ascii="Aptos" w:hAnsi="Aptos"/>
          <w:lang w:val="en-MY"/>
        </w:rPr>
      </w:pPr>
      <w:r w:rsidRPr="006A7AE7">
        <w:rPr>
          <w:rFonts w:ascii="Aptos" w:hAnsi="Aptos"/>
          <w:noProof/>
          <w:lang w:val="en-MY"/>
        </w:rPr>
        <mc:AlternateContent>
          <mc:Choice Requires="wps">
            <w:drawing>
              <wp:anchor distT="0" distB="0" distL="114300" distR="114300" simplePos="0" relativeHeight="251659264" behindDoc="0" locked="0" layoutInCell="1" allowOverlap="1" wp14:anchorId="6173CE96" wp14:editId="32C93127">
                <wp:simplePos x="0" y="0"/>
                <wp:positionH relativeFrom="column">
                  <wp:posOffset>612183</wp:posOffset>
                </wp:positionH>
                <wp:positionV relativeFrom="paragraph">
                  <wp:posOffset>30060</wp:posOffset>
                </wp:positionV>
                <wp:extent cx="1255040" cy="828675"/>
                <wp:effectExtent l="0" t="0" r="21590" b="28575"/>
                <wp:wrapNone/>
                <wp:docPr id="2064080109" name="Rectangle: Rounded Corners 1"/>
                <wp:cNvGraphicFramePr/>
                <a:graphic xmlns:a="http://schemas.openxmlformats.org/drawingml/2006/main">
                  <a:graphicData uri="http://schemas.microsoft.com/office/word/2010/wordprocessingShape">
                    <wps:wsp>
                      <wps:cNvSpPr/>
                      <wps:spPr>
                        <a:xfrm>
                          <a:off x="0" y="0"/>
                          <a:ext cx="1255040" cy="8286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04D89407" w14:textId="77777777" w:rsidR="00B23396" w:rsidRPr="009E0799" w:rsidRDefault="00B23396" w:rsidP="00B23396">
                            <w:pPr>
                              <w:spacing w:after="0" w:line="240" w:lineRule="auto"/>
                              <w:jc w:val="center"/>
                              <w:rPr>
                                <w:sz w:val="20"/>
                                <w:szCs w:val="20"/>
                                <w:lang w:val="en-MY"/>
                              </w:rPr>
                            </w:pPr>
                            <w:r w:rsidRPr="009E0799">
                              <w:rPr>
                                <w:sz w:val="20"/>
                                <w:szCs w:val="20"/>
                                <w:lang w:val="en-MY"/>
                              </w:rPr>
                              <w:t xml:space="preserve">Record identified through Scopus database                   </w:t>
                            </w:r>
                          </w:p>
                          <w:p w14:paraId="03B37EA1" w14:textId="77777777" w:rsidR="00B23396" w:rsidRPr="00075CA5" w:rsidRDefault="00B23396" w:rsidP="00B23396">
                            <w:pPr>
                              <w:spacing w:after="0" w:line="240" w:lineRule="auto"/>
                              <w:jc w:val="center"/>
                              <w:rPr>
                                <w:b/>
                                <w:bCs/>
                                <w:sz w:val="20"/>
                                <w:szCs w:val="20"/>
                                <w:lang w:val="en-MY"/>
                              </w:rPr>
                            </w:pPr>
                            <w:r w:rsidRPr="00075CA5">
                              <w:rPr>
                                <w:b/>
                                <w:bCs/>
                                <w:sz w:val="20"/>
                                <w:szCs w:val="20"/>
                                <w:lang w:val="en-MY"/>
                              </w:rPr>
                              <w:t>n=26</w:t>
                            </w:r>
                          </w:p>
                          <w:p w14:paraId="180D8ECD" w14:textId="77777777" w:rsidR="00B23396" w:rsidRPr="00817CF4" w:rsidRDefault="00B23396" w:rsidP="00B23396">
                            <w:pPr>
                              <w:jc w:val="center"/>
                              <w:rPr>
                                <w:lang w:val="en-M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3CE96" id="Rectangle: Rounded Corners 1" o:spid="_x0000_s1026" style="position:absolute;left:0;text-align:left;margin-left:48.2pt;margin-top:2.35pt;width:98.8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04D89407" w14:textId="77777777" w:rsidR="00B23396" w:rsidRPr="009E0799" w:rsidRDefault="00B23396" w:rsidP="00B23396">
                      <w:pPr>
                        <w:spacing w:after="0" w:line="240" w:lineRule="auto"/>
                        <w:jc w:val="center"/>
                        <w:rPr>
                          <w:sz w:val="20"/>
                          <w:szCs w:val="20"/>
                          <w:lang w:val="en-MY"/>
                        </w:rPr>
                      </w:pPr>
                      <w:r w:rsidRPr="009E0799">
                        <w:rPr>
                          <w:sz w:val="20"/>
                          <w:szCs w:val="20"/>
                          <w:lang w:val="en-MY"/>
                        </w:rPr>
                        <w:t xml:space="preserve">Record identified through Scopus database                   </w:t>
                      </w:r>
                    </w:p>
                    <w:p w14:paraId="03B37EA1" w14:textId="77777777" w:rsidR="00B23396" w:rsidRPr="00075CA5" w:rsidRDefault="00B23396" w:rsidP="00B23396">
                      <w:pPr>
                        <w:spacing w:after="0" w:line="240" w:lineRule="auto"/>
                        <w:jc w:val="center"/>
                        <w:rPr>
                          <w:b/>
                          <w:bCs/>
                          <w:sz w:val="20"/>
                          <w:szCs w:val="20"/>
                          <w:lang w:val="en-MY"/>
                        </w:rPr>
                      </w:pPr>
                      <w:r w:rsidRPr="00075CA5">
                        <w:rPr>
                          <w:b/>
                          <w:bCs/>
                          <w:sz w:val="20"/>
                          <w:szCs w:val="20"/>
                          <w:lang w:val="en-MY"/>
                        </w:rPr>
                        <w:t>n=26</w:t>
                      </w:r>
                    </w:p>
                    <w:p w14:paraId="180D8ECD" w14:textId="77777777" w:rsidR="00B23396" w:rsidRPr="00817CF4" w:rsidRDefault="00B23396" w:rsidP="00B23396">
                      <w:pPr>
                        <w:jc w:val="center"/>
                        <w:rPr>
                          <w:lang w:val="en-MY"/>
                        </w:rPr>
                      </w:pPr>
                    </w:p>
                  </w:txbxContent>
                </v:textbox>
              </v:roundrect>
            </w:pict>
          </mc:Fallback>
        </mc:AlternateContent>
      </w:r>
      <w:r w:rsidRPr="006A7AE7">
        <w:rPr>
          <w:rFonts w:ascii="Aptos" w:hAnsi="Aptos"/>
          <w:noProof/>
          <w:lang w:val="en-MY"/>
        </w:rPr>
        <mc:AlternateContent>
          <mc:Choice Requires="wps">
            <w:drawing>
              <wp:anchor distT="0" distB="0" distL="114300" distR="114300" simplePos="0" relativeHeight="251660288" behindDoc="0" locked="0" layoutInCell="1" allowOverlap="1" wp14:anchorId="6B6F64C8" wp14:editId="2B7A2EAA">
                <wp:simplePos x="0" y="0"/>
                <wp:positionH relativeFrom="column">
                  <wp:posOffset>3277892</wp:posOffset>
                </wp:positionH>
                <wp:positionV relativeFrom="paragraph">
                  <wp:posOffset>30060</wp:posOffset>
                </wp:positionV>
                <wp:extent cx="1511622" cy="829160"/>
                <wp:effectExtent l="0" t="0" r="12700" b="28575"/>
                <wp:wrapNone/>
                <wp:docPr id="808369367" name="Rectangle: Rounded Corners 3"/>
                <wp:cNvGraphicFramePr/>
                <a:graphic xmlns:a="http://schemas.openxmlformats.org/drawingml/2006/main">
                  <a:graphicData uri="http://schemas.microsoft.com/office/word/2010/wordprocessingShape">
                    <wps:wsp>
                      <wps:cNvSpPr/>
                      <wps:spPr>
                        <a:xfrm>
                          <a:off x="0" y="0"/>
                          <a:ext cx="1511622" cy="8291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B2C1DAC" w14:textId="77777777" w:rsidR="00B23396" w:rsidRPr="00075CA5" w:rsidRDefault="00B23396" w:rsidP="00B23396">
                            <w:pPr>
                              <w:spacing w:after="0" w:line="240" w:lineRule="auto"/>
                              <w:jc w:val="center"/>
                              <w:rPr>
                                <w:b/>
                                <w:bCs/>
                                <w:sz w:val="20"/>
                                <w:szCs w:val="20"/>
                                <w:lang w:val="en-MY"/>
                              </w:rPr>
                            </w:pPr>
                            <w:r w:rsidRPr="00075CA5">
                              <w:rPr>
                                <w:sz w:val="20"/>
                                <w:szCs w:val="20"/>
                                <w:lang w:val="en-MY"/>
                              </w:rPr>
                              <w:t xml:space="preserve">Record identified through </w:t>
                            </w:r>
                            <w:r w:rsidRPr="00075CA5">
                              <w:rPr>
                                <w:sz w:val="20"/>
                                <w:szCs w:val="20"/>
                                <w:lang w:val="en-MY"/>
                              </w:rPr>
                              <w:t>WoS database</w:t>
                            </w:r>
                          </w:p>
                          <w:p w14:paraId="467B2919" w14:textId="77777777" w:rsidR="00B23396" w:rsidRPr="00075CA5" w:rsidRDefault="00B23396" w:rsidP="00B23396">
                            <w:pPr>
                              <w:spacing w:after="0" w:line="240" w:lineRule="auto"/>
                              <w:jc w:val="center"/>
                              <w:rPr>
                                <w:b/>
                                <w:bCs/>
                                <w:sz w:val="20"/>
                                <w:szCs w:val="20"/>
                                <w:lang w:val="en-MY"/>
                              </w:rPr>
                            </w:pPr>
                            <w:r w:rsidRPr="00075CA5">
                              <w:rPr>
                                <w:b/>
                                <w:bCs/>
                                <w:sz w:val="20"/>
                                <w:szCs w:val="20"/>
                                <w:lang w:val="en-MY"/>
                              </w:rPr>
                              <w:t>n=21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F64C8" id="Rectangle: Rounded Corners 3" o:spid="_x0000_s1027" style="position:absolute;left:0;text-align:left;margin-left:258.1pt;margin-top:2.35pt;width:119.05pt;height:6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" fillcolor="#82a0d7 [2164]" strokecolor="#4472c4 [3204]" strokeweight=".5pt">
                <v:fill color2="#678ccf [2612]" rotate="t" colors="0 #a8b7df;.5 #9aabd9;1 #879ed7" focus="100%" type="gradient">
                  <o:fill v:ext="view" type="gradientUnscaled"/>
                </v:fill>
                <v:stroke joinstyle="miter"/>
                <v:textbox>
                  <w:txbxContent>
                    <w:p w14:paraId="5B2C1DAC" w14:textId="77777777" w:rsidR="00B23396" w:rsidRPr="00075CA5" w:rsidRDefault="00B23396" w:rsidP="00B23396">
                      <w:pPr>
                        <w:spacing w:after="0" w:line="240" w:lineRule="auto"/>
                        <w:jc w:val="center"/>
                        <w:rPr>
                          <w:b/>
                          <w:bCs/>
                          <w:sz w:val="20"/>
                          <w:szCs w:val="20"/>
                          <w:lang w:val="en-MY"/>
                        </w:rPr>
                      </w:pPr>
                      <w:r w:rsidRPr="00075CA5">
                        <w:rPr>
                          <w:sz w:val="20"/>
                          <w:szCs w:val="20"/>
                          <w:lang w:val="en-MY"/>
                        </w:rPr>
                        <w:t xml:space="preserve">Record identified through </w:t>
                      </w:r>
                      <w:proofErr w:type="spellStart"/>
                      <w:r w:rsidRPr="00075CA5">
                        <w:rPr>
                          <w:sz w:val="20"/>
                          <w:szCs w:val="20"/>
                          <w:lang w:val="en-MY"/>
                        </w:rPr>
                        <w:t>WoS</w:t>
                      </w:r>
                      <w:proofErr w:type="spellEnd"/>
                      <w:r w:rsidRPr="00075CA5">
                        <w:rPr>
                          <w:sz w:val="20"/>
                          <w:szCs w:val="20"/>
                          <w:lang w:val="en-MY"/>
                        </w:rPr>
                        <w:t xml:space="preserve"> database</w:t>
                      </w:r>
                    </w:p>
                    <w:p w14:paraId="467B2919" w14:textId="77777777" w:rsidR="00B23396" w:rsidRPr="00075CA5" w:rsidRDefault="00B23396" w:rsidP="00B23396">
                      <w:pPr>
                        <w:spacing w:after="0" w:line="240" w:lineRule="auto"/>
                        <w:jc w:val="center"/>
                        <w:rPr>
                          <w:b/>
                          <w:bCs/>
                          <w:sz w:val="20"/>
                          <w:szCs w:val="20"/>
                          <w:lang w:val="en-MY"/>
                        </w:rPr>
                      </w:pPr>
                      <w:r w:rsidRPr="00075CA5">
                        <w:rPr>
                          <w:b/>
                          <w:bCs/>
                          <w:sz w:val="20"/>
                          <w:szCs w:val="20"/>
                          <w:lang w:val="en-MY"/>
                        </w:rPr>
                        <w:t>n=21</w:t>
                      </w:r>
                    </w:p>
                  </w:txbxContent>
                </v:textbox>
              </v:roundrect>
            </w:pict>
          </mc:Fallback>
        </mc:AlternateContent>
      </w:r>
    </w:p>
    <w:p w14:paraId="2C2E55B5" w14:textId="77777777" w:rsidR="00B23396" w:rsidRPr="006A7AE7" w:rsidRDefault="00B23396" w:rsidP="00B23396">
      <w:pPr>
        <w:jc w:val="both"/>
        <w:rPr>
          <w:rFonts w:ascii="Aptos" w:hAnsi="Aptos"/>
          <w:lang w:val="en-MY"/>
        </w:rPr>
      </w:pPr>
      <w:r w:rsidRPr="006A7AE7">
        <w:rPr>
          <w:rFonts w:ascii="Aptos" w:hAnsi="Aptos"/>
          <w:noProof/>
          <w:lang w:val="en-MY"/>
        </w:rPr>
        <mc:AlternateContent>
          <mc:Choice Requires="wps">
            <w:drawing>
              <wp:anchor distT="0" distB="0" distL="114300" distR="114300" simplePos="0" relativeHeight="251662336" behindDoc="0" locked="0" layoutInCell="1" allowOverlap="1" wp14:anchorId="095CF9B7" wp14:editId="4EE49FAC">
                <wp:simplePos x="0" y="0"/>
                <wp:positionH relativeFrom="column">
                  <wp:posOffset>2524931</wp:posOffset>
                </wp:positionH>
                <wp:positionV relativeFrom="paragraph">
                  <wp:posOffset>46527</wp:posOffset>
                </wp:positionV>
                <wp:extent cx="752960" cy="2603080"/>
                <wp:effectExtent l="76200" t="0" r="9525" b="64135"/>
                <wp:wrapNone/>
                <wp:docPr id="1691508219" name="Connector: Elbow 5"/>
                <wp:cNvGraphicFramePr/>
                <a:graphic xmlns:a="http://schemas.openxmlformats.org/drawingml/2006/main">
                  <a:graphicData uri="http://schemas.microsoft.com/office/word/2010/wordprocessingShape">
                    <wps:wsp>
                      <wps:cNvCnPr/>
                      <wps:spPr>
                        <a:xfrm flipH="1">
                          <a:off x="0" y="0"/>
                          <a:ext cx="752960" cy="2603080"/>
                        </a:xfrm>
                        <a:prstGeom prst="bentConnector3">
                          <a:avLst>
                            <a:gd name="adj1" fmla="val 9985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C7711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 o:spid="_x0000_s1026" type="#_x0000_t34" style="position:absolute;margin-left:198.8pt;margin-top:3.65pt;width:59.3pt;height:204.9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" adj="21569" strokecolor="black [3213]" strokeweight=".5pt">
                <v:stroke endarrow="block"/>
              </v:shape>
            </w:pict>
          </mc:Fallback>
        </mc:AlternateContent>
      </w:r>
      <w:r w:rsidRPr="006A7AE7">
        <w:rPr>
          <w:rFonts w:ascii="Aptos" w:hAnsi="Aptos"/>
          <w:noProof/>
          <w:lang w:val="en-MY"/>
        </w:rPr>
        <mc:AlternateContent>
          <mc:Choice Requires="wps">
            <w:drawing>
              <wp:anchor distT="0" distB="0" distL="114300" distR="114300" simplePos="0" relativeHeight="251661312" behindDoc="0" locked="0" layoutInCell="1" allowOverlap="1" wp14:anchorId="33CE5A2F" wp14:editId="0E66889B">
                <wp:simplePos x="0" y="0"/>
                <wp:positionH relativeFrom="column">
                  <wp:posOffset>1906292</wp:posOffset>
                </wp:positionH>
                <wp:positionV relativeFrom="paragraph">
                  <wp:posOffset>46528</wp:posOffset>
                </wp:positionV>
                <wp:extent cx="619932" cy="914400"/>
                <wp:effectExtent l="0" t="0" r="66040" b="95250"/>
                <wp:wrapNone/>
                <wp:docPr id="207416470" name="Connector: Elbow 4"/>
                <wp:cNvGraphicFramePr/>
                <a:graphic xmlns:a="http://schemas.openxmlformats.org/drawingml/2006/main">
                  <a:graphicData uri="http://schemas.microsoft.com/office/word/2010/wordprocessingShape">
                    <wps:wsp>
                      <wps:cNvCnPr/>
                      <wps:spPr>
                        <a:xfrm>
                          <a:off x="0" y="0"/>
                          <a:ext cx="619932" cy="91440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74DBBA" id="Connector: Elbow 4" o:spid="_x0000_s1026" type="#_x0000_t34" style="position:absolute;margin-left:150.1pt;margin-top:3.65pt;width:48.8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" strokecolor="black [3213]" strokeweight=".5pt">
                <v:stroke endarrow="block"/>
              </v:shape>
            </w:pict>
          </mc:Fallback>
        </mc:AlternateContent>
      </w:r>
    </w:p>
    <w:p w14:paraId="089ADCFF" w14:textId="77777777" w:rsidR="00B23396" w:rsidRPr="006A7AE7" w:rsidRDefault="00B23396" w:rsidP="00B23396">
      <w:pPr>
        <w:jc w:val="both"/>
        <w:rPr>
          <w:rFonts w:ascii="Aptos" w:hAnsi="Aptos"/>
          <w:lang w:val="en-MY"/>
        </w:rPr>
      </w:pPr>
    </w:p>
    <w:p w14:paraId="381CDDC2" w14:textId="77777777" w:rsidR="00B23396" w:rsidRPr="006A7AE7" w:rsidRDefault="00B23396" w:rsidP="00B23396">
      <w:pPr>
        <w:jc w:val="both"/>
        <w:rPr>
          <w:rFonts w:ascii="Aptos" w:hAnsi="Aptos"/>
          <w:lang w:val="en-MY"/>
        </w:rPr>
      </w:pPr>
      <w:r w:rsidRPr="006A7AE7">
        <w:rPr>
          <w:rFonts w:ascii="Aptos" w:hAnsi="Aptos"/>
          <w:noProof/>
          <w:lang w:val="en-MY"/>
        </w:rPr>
        <mc:AlternateContent>
          <mc:Choice Requires="wps">
            <w:drawing>
              <wp:anchor distT="0" distB="0" distL="114300" distR="114300" simplePos="0" relativeHeight="251665408" behindDoc="0" locked="0" layoutInCell="1" allowOverlap="1" wp14:anchorId="0E935962" wp14:editId="45D8CB7C">
                <wp:simplePos x="0" y="0"/>
                <wp:positionH relativeFrom="column">
                  <wp:posOffset>3080213</wp:posOffset>
                </wp:positionH>
                <wp:positionV relativeFrom="paragraph">
                  <wp:posOffset>269025</wp:posOffset>
                </wp:positionV>
                <wp:extent cx="2185142" cy="1809545"/>
                <wp:effectExtent l="19050" t="19050" r="43815" b="38735"/>
                <wp:wrapNone/>
                <wp:docPr id="1880079177" name="Flowchart: Decision 8"/>
                <wp:cNvGraphicFramePr/>
                <a:graphic xmlns:a="http://schemas.openxmlformats.org/drawingml/2006/main">
                  <a:graphicData uri="http://schemas.microsoft.com/office/word/2010/wordprocessingShape">
                    <wps:wsp>
                      <wps:cNvSpPr/>
                      <wps:spPr>
                        <a:xfrm>
                          <a:off x="0" y="0"/>
                          <a:ext cx="2185142" cy="1809545"/>
                        </a:xfrm>
                        <a:prstGeom prst="flowChartDecision">
                          <a:avLst/>
                        </a:prstGeom>
                      </wps:spPr>
                      <wps:style>
                        <a:lnRef idx="1">
                          <a:schemeClr val="accent4"/>
                        </a:lnRef>
                        <a:fillRef idx="2">
                          <a:schemeClr val="accent4"/>
                        </a:fillRef>
                        <a:effectRef idx="1">
                          <a:schemeClr val="accent4"/>
                        </a:effectRef>
                        <a:fontRef idx="minor">
                          <a:schemeClr val="dk1"/>
                        </a:fontRef>
                      </wps:style>
                      <wps:txbx>
                        <w:txbxContent>
                          <w:p w14:paraId="7DE48735" w14:textId="77777777" w:rsidR="00B23396" w:rsidRDefault="00B23396" w:rsidP="00B23396">
                            <w:pPr>
                              <w:spacing w:after="0"/>
                              <w:jc w:val="center"/>
                              <w:rPr>
                                <w:sz w:val="20"/>
                                <w:szCs w:val="20"/>
                                <w:lang w:val="en-MY"/>
                              </w:rPr>
                            </w:pPr>
                            <w:r>
                              <w:rPr>
                                <w:sz w:val="20"/>
                                <w:szCs w:val="20"/>
                                <w:lang w:val="en-MY"/>
                              </w:rPr>
                              <w:t>Studies not eligible according to inclusion and exclusion</w:t>
                            </w:r>
                          </w:p>
                          <w:p w14:paraId="4324085F" w14:textId="77777777" w:rsidR="00B23396" w:rsidRPr="00075CA5" w:rsidRDefault="00B23396" w:rsidP="00B23396">
                            <w:pPr>
                              <w:spacing w:after="0"/>
                              <w:jc w:val="center"/>
                              <w:rPr>
                                <w:b/>
                                <w:bCs/>
                                <w:sz w:val="20"/>
                                <w:szCs w:val="20"/>
                                <w:lang w:val="en-MY"/>
                              </w:rPr>
                            </w:pPr>
                            <w:r w:rsidRPr="00075CA5">
                              <w:rPr>
                                <w:b/>
                                <w:bCs/>
                                <w:sz w:val="20"/>
                                <w:szCs w:val="20"/>
                                <w:lang w:val="en-MY"/>
                              </w:rPr>
                              <w:t>n=</w:t>
                            </w:r>
                            <w:r>
                              <w:rPr>
                                <w:b/>
                                <w:bCs/>
                                <w:sz w:val="20"/>
                                <w:szCs w:val="20"/>
                                <w:lang w:val="en-MY"/>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35962" id="_x0000_t110" coordsize="21600,21600" o:spt="110" path="m10800,l,10800,10800,21600,21600,10800xe">
                <v:stroke joinstyle="miter"/>
                <v:path gradientshapeok="t" o:connecttype="rect" textboxrect="5400,5400,16200,16200"/>
              </v:shapetype>
              <v:shape id="Flowchart: Decision 8" o:spid="_x0000_s1028" type="#_x0000_t110" style="position:absolute;left:0;text-align:left;margin-left:242.55pt;margin-top:21.2pt;width:172.0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" fillcolor="#ffd555 [2167]" strokecolor="#ffc000 [3207]" strokeweight=".5pt">
                <v:fill color2="#ffcc31 [2615]" rotate="t" colors="0 #ffdd9c;.5 #ffd78e;1 #ffd479" focus="100%" type="gradient">
                  <o:fill v:ext="view" type="gradientUnscaled"/>
                </v:fill>
                <v:textbox>
                  <w:txbxContent>
                    <w:p w14:paraId="7DE48735" w14:textId="77777777" w:rsidR="00B23396" w:rsidRDefault="00B23396" w:rsidP="00B23396">
                      <w:pPr>
                        <w:spacing w:after="0"/>
                        <w:jc w:val="center"/>
                        <w:rPr>
                          <w:sz w:val="20"/>
                          <w:szCs w:val="20"/>
                          <w:lang w:val="en-MY"/>
                        </w:rPr>
                      </w:pPr>
                      <w:r>
                        <w:rPr>
                          <w:sz w:val="20"/>
                          <w:szCs w:val="20"/>
                          <w:lang w:val="en-MY"/>
                        </w:rPr>
                        <w:t>Studies not eligible according to inclusion and exclusion</w:t>
                      </w:r>
                    </w:p>
                    <w:p w14:paraId="4324085F" w14:textId="77777777" w:rsidR="00B23396" w:rsidRPr="00075CA5" w:rsidRDefault="00B23396" w:rsidP="00B23396">
                      <w:pPr>
                        <w:spacing w:after="0"/>
                        <w:jc w:val="center"/>
                        <w:rPr>
                          <w:b/>
                          <w:bCs/>
                          <w:sz w:val="20"/>
                          <w:szCs w:val="20"/>
                          <w:lang w:val="en-MY"/>
                        </w:rPr>
                      </w:pPr>
                      <w:r w:rsidRPr="00075CA5">
                        <w:rPr>
                          <w:b/>
                          <w:bCs/>
                          <w:sz w:val="20"/>
                          <w:szCs w:val="20"/>
                          <w:lang w:val="en-MY"/>
                        </w:rPr>
                        <w:t>n=</w:t>
                      </w:r>
                      <w:r>
                        <w:rPr>
                          <w:b/>
                          <w:bCs/>
                          <w:sz w:val="20"/>
                          <w:szCs w:val="20"/>
                          <w:lang w:val="en-MY"/>
                        </w:rPr>
                        <w:t>4</w:t>
                      </w:r>
                    </w:p>
                  </w:txbxContent>
                </v:textbox>
              </v:shape>
            </w:pict>
          </mc:Fallback>
        </mc:AlternateContent>
      </w:r>
    </w:p>
    <w:p w14:paraId="46741B04" w14:textId="77777777" w:rsidR="00B23396" w:rsidRPr="006A7AE7" w:rsidRDefault="00B23396" w:rsidP="00B23396">
      <w:pPr>
        <w:jc w:val="both"/>
        <w:rPr>
          <w:rFonts w:ascii="Aptos" w:hAnsi="Aptos"/>
          <w:lang w:val="en-MY"/>
        </w:rPr>
      </w:pPr>
      <w:r w:rsidRPr="006A7AE7">
        <w:rPr>
          <w:rFonts w:ascii="Aptos" w:hAnsi="Aptos"/>
          <w:noProof/>
          <w:lang w:val="en-MY"/>
        </w:rPr>
        <mc:AlternateContent>
          <mc:Choice Requires="wps">
            <w:drawing>
              <wp:anchor distT="0" distB="0" distL="114300" distR="114300" simplePos="0" relativeHeight="251663360" behindDoc="0" locked="0" layoutInCell="1" allowOverlap="1" wp14:anchorId="29032772" wp14:editId="790CFA41">
                <wp:simplePos x="0" y="0"/>
                <wp:positionH relativeFrom="column">
                  <wp:posOffset>381646</wp:posOffset>
                </wp:positionH>
                <wp:positionV relativeFrom="paragraph">
                  <wp:posOffset>222885</wp:posOffset>
                </wp:positionV>
                <wp:extent cx="1763255" cy="1189818"/>
                <wp:effectExtent l="19050" t="19050" r="46990" b="10795"/>
                <wp:wrapNone/>
                <wp:docPr id="1884140265" name="Isosceles Triangle 6"/>
                <wp:cNvGraphicFramePr/>
                <a:graphic xmlns:a="http://schemas.openxmlformats.org/drawingml/2006/main">
                  <a:graphicData uri="http://schemas.microsoft.com/office/word/2010/wordprocessingShape">
                    <wps:wsp>
                      <wps:cNvSpPr/>
                      <wps:spPr>
                        <a:xfrm>
                          <a:off x="0" y="0"/>
                          <a:ext cx="1763255" cy="1189818"/>
                        </a:xfrm>
                        <a:prstGeom prst="triangle">
                          <a:avLst/>
                        </a:prstGeom>
                      </wps:spPr>
                      <wps:style>
                        <a:lnRef idx="1">
                          <a:schemeClr val="accent6"/>
                        </a:lnRef>
                        <a:fillRef idx="2">
                          <a:schemeClr val="accent6"/>
                        </a:fillRef>
                        <a:effectRef idx="1">
                          <a:schemeClr val="accent6"/>
                        </a:effectRef>
                        <a:fontRef idx="minor">
                          <a:schemeClr val="dk1"/>
                        </a:fontRef>
                      </wps:style>
                      <wps:txbx>
                        <w:txbxContent>
                          <w:p w14:paraId="5861F1C3" w14:textId="77777777" w:rsidR="00B23396" w:rsidRPr="00075CA5" w:rsidRDefault="00B23396" w:rsidP="00B23396">
                            <w:pPr>
                              <w:spacing w:after="0" w:line="240" w:lineRule="auto"/>
                              <w:jc w:val="center"/>
                              <w:rPr>
                                <w:sz w:val="20"/>
                                <w:szCs w:val="20"/>
                                <w:lang w:val="en-MY"/>
                              </w:rPr>
                            </w:pPr>
                            <w:r w:rsidRPr="00075CA5">
                              <w:rPr>
                                <w:sz w:val="20"/>
                                <w:szCs w:val="20"/>
                                <w:lang w:val="en-MY"/>
                              </w:rPr>
                              <w:t>Duplication Removed</w:t>
                            </w:r>
                          </w:p>
                          <w:p w14:paraId="4084AA18" w14:textId="77777777" w:rsidR="00B23396" w:rsidRPr="00075CA5" w:rsidRDefault="00B23396" w:rsidP="00B23396">
                            <w:pPr>
                              <w:spacing w:after="0" w:line="240" w:lineRule="auto"/>
                              <w:jc w:val="center"/>
                              <w:rPr>
                                <w:b/>
                                <w:bCs/>
                                <w:sz w:val="20"/>
                                <w:szCs w:val="20"/>
                                <w:lang w:val="en-MY"/>
                              </w:rPr>
                            </w:pPr>
                            <w:r w:rsidRPr="00075CA5">
                              <w:rPr>
                                <w:b/>
                                <w:bCs/>
                                <w:sz w:val="20"/>
                                <w:szCs w:val="20"/>
                                <w:lang w:val="en-MY"/>
                              </w:rPr>
                              <w:t>n=</w:t>
                            </w:r>
                            <w:r>
                              <w:rPr>
                                <w:b/>
                                <w:bCs/>
                                <w:sz w:val="20"/>
                                <w:szCs w:val="20"/>
                                <w:lang w:val="en-MY"/>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3277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9" type="#_x0000_t5" style="position:absolute;left:0;text-align:left;margin-left:30.05pt;margin-top:17.55pt;width:138.85pt;height:9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" fillcolor="#9ecb81 [2169]" strokecolor="#70ad47 [3209]" strokeweight=".5pt">
                <v:fill color2="#8ac066 [2617]" rotate="t" colors="0 #b5d5a7;.5 #aace99;1 #9cca86" focus="100%" type="gradient">
                  <o:fill v:ext="view" type="gradientUnscaled"/>
                </v:fill>
                <v:textbox>
                  <w:txbxContent>
                    <w:p w14:paraId="5861F1C3" w14:textId="77777777" w:rsidR="00B23396" w:rsidRPr="00075CA5" w:rsidRDefault="00B23396" w:rsidP="00B23396">
                      <w:pPr>
                        <w:spacing w:after="0" w:line="240" w:lineRule="auto"/>
                        <w:jc w:val="center"/>
                        <w:rPr>
                          <w:sz w:val="20"/>
                          <w:szCs w:val="20"/>
                          <w:lang w:val="en-MY"/>
                        </w:rPr>
                      </w:pPr>
                      <w:r w:rsidRPr="00075CA5">
                        <w:rPr>
                          <w:sz w:val="20"/>
                          <w:szCs w:val="20"/>
                          <w:lang w:val="en-MY"/>
                        </w:rPr>
                        <w:t>Duplication Removed</w:t>
                      </w:r>
                    </w:p>
                    <w:p w14:paraId="4084AA18" w14:textId="77777777" w:rsidR="00B23396" w:rsidRPr="00075CA5" w:rsidRDefault="00B23396" w:rsidP="00B23396">
                      <w:pPr>
                        <w:spacing w:after="0" w:line="240" w:lineRule="auto"/>
                        <w:jc w:val="center"/>
                        <w:rPr>
                          <w:b/>
                          <w:bCs/>
                          <w:sz w:val="20"/>
                          <w:szCs w:val="20"/>
                          <w:lang w:val="en-MY"/>
                        </w:rPr>
                      </w:pPr>
                      <w:r w:rsidRPr="00075CA5">
                        <w:rPr>
                          <w:b/>
                          <w:bCs/>
                          <w:sz w:val="20"/>
                          <w:szCs w:val="20"/>
                          <w:lang w:val="en-MY"/>
                        </w:rPr>
                        <w:t>n=</w:t>
                      </w:r>
                      <w:r>
                        <w:rPr>
                          <w:b/>
                          <w:bCs/>
                          <w:sz w:val="20"/>
                          <w:szCs w:val="20"/>
                          <w:lang w:val="en-MY"/>
                        </w:rPr>
                        <w:t>9</w:t>
                      </w:r>
                    </w:p>
                  </w:txbxContent>
                </v:textbox>
              </v:shape>
            </w:pict>
          </mc:Fallback>
        </mc:AlternateContent>
      </w:r>
    </w:p>
    <w:p w14:paraId="6F3D437D" w14:textId="77777777" w:rsidR="00B23396" w:rsidRPr="006A7AE7" w:rsidRDefault="00B23396" w:rsidP="00B23396">
      <w:pPr>
        <w:jc w:val="both"/>
        <w:rPr>
          <w:rFonts w:ascii="Aptos" w:hAnsi="Aptos"/>
          <w:lang w:val="en-MY"/>
        </w:rPr>
      </w:pPr>
    </w:p>
    <w:p w14:paraId="1C5306DA" w14:textId="77777777" w:rsidR="00B23396" w:rsidRPr="006A7AE7" w:rsidRDefault="00B23396" w:rsidP="00B23396">
      <w:pPr>
        <w:jc w:val="both"/>
        <w:rPr>
          <w:rFonts w:ascii="Aptos" w:hAnsi="Aptos"/>
          <w:lang w:val="en-MY"/>
        </w:rPr>
      </w:pPr>
      <w:r w:rsidRPr="006A7AE7">
        <w:rPr>
          <w:rFonts w:ascii="Aptos" w:hAnsi="Aptos"/>
          <w:noProof/>
          <w:lang w:val="en-MY"/>
        </w:rPr>
        <mc:AlternateContent>
          <mc:Choice Requires="wps">
            <w:drawing>
              <wp:anchor distT="0" distB="0" distL="114300" distR="114300" simplePos="0" relativeHeight="251664384" behindDoc="0" locked="0" layoutInCell="1" allowOverlap="1" wp14:anchorId="01E99883" wp14:editId="798C87AB">
                <wp:simplePos x="0" y="0"/>
                <wp:positionH relativeFrom="column">
                  <wp:posOffset>1596324</wp:posOffset>
                </wp:positionH>
                <wp:positionV relativeFrom="paragraph">
                  <wp:posOffset>90751</wp:posOffset>
                </wp:positionV>
                <wp:extent cx="928607" cy="0"/>
                <wp:effectExtent l="0" t="76200" r="24130" b="95250"/>
                <wp:wrapNone/>
                <wp:docPr id="73187597" name="Straight Arrow Connector 7"/>
                <wp:cNvGraphicFramePr/>
                <a:graphic xmlns:a="http://schemas.openxmlformats.org/drawingml/2006/main">
                  <a:graphicData uri="http://schemas.microsoft.com/office/word/2010/wordprocessingShape">
                    <wps:wsp>
                      <wps:cNvCnPr/>
                      <wps:spPr>
                        <a:xfrm>
                          <a:off x="0" y="0"/>
                          <a:ext cx="92860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AEEDC8" id="_x0000_t32" coordsize="21600,21600" o:spt="32" o:oned="t" path="m,l21600,21600e" filled="f">
                <v:path arrowok="t" fillok="f" o:connecttype="none"/>
                <o:lock v:ext="edit" shapetype="t"/>
              </v:shapetype>
              <v:shape id="Straight Arrow Connector 7" o:spid="_x0000_s1026" type="#_x0000_t32" style="position:absolute;margin-left:125.7pt;margin-top:7.15pt;width:73.1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" strokecolor="black [3213]" strokeweight=".5pt">
                <v:stroke endarrow="block" joinstyle="miter"/>
              </v:shape>
            </w:pict>
          </mc:Fallback>
        </mc:AlternateContent>
      </w:r>
    </w:p>
    <w:p w14:paraId="383A9729" w14:textId="77777777" w:rsidR="00B23396" w:rsidRPr="006A7AE7" w:rsidRDefault="00B23396" w:rsidP="00B23396">
      <w:pPr>
        <w:jc w:val="both"/>
        <w:rPr>
          <w:rFonts w:ascii="Aptos" w:hAnsi="Aptos"/>
          <w:lang w:val="en-MY"/>
        </w:rPr>
      </w:pPr>
      <w:r w:rsidRPr="006A7AE7">
        <w:rPr>
          <w:rFonts w:ascii="Aptos" w:hAnsi="Aptos"/>
          <w:noProof/>
          <w:lang w:val="en-MY"/>
        </w:rPr>
        <mc:AlternateContent>
          <mc:Choice Requires="wps">
            <w:drawing>
              <wp:anchor distT="0" distB="0" distL="114300" distR="114300" simplePos="0" relativeHeight="251667456" behindDoc="0" locked="0" layoutInCell="1" allowOverlap="1" wp14:anchorId="1F3DA02A" wp14:editId="1A362B2D">
                <wp:simplePos x="0" y="0"/>
                <wp:positionH relativeFrom="column">
                  <wp:posOffset>2525094</wp:posOffset>
                </wp:positionH>
                <wp:positionV relativeFrom="paragraph">
                  <wp:posOffset>29210</wp:posOffset>
                </wp:positionV>
                <wp:extent cx="555033" cy="0"/>
                <wp:effectExtent l="38100" t="76200" r="0" b="95250"/>
                <wp:wrapNone/>
                <wp:docPr id="505896883" name="Straight Arrow Connector 10"/>
                <wp:cNvGraphicFramePr/>
                <a:graphic xmlns:a="http://schemas.openxmlformats.org/drawingml/2006/main">
                  <a:graphicData uri="http://schemas.microsoft.com/office/word/2010/wordprocessingShape">
                    <wps:wsp>
                      <wps:cNvCnPr/>
                      <wps:spPr>
                        <a:xfrm flipH="1">
                          <a:off x="0" y="0"/>
                          <a:ext cx="55503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57486A" id="Straight Arrow Connector 10" o:spid="_x0000_s1026" type="#_x0000_t32" style="position:absolute;margin-left:198.85pt;margin-top:2.3pt;width:43.7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" strokecolor="black [3213]" strokeweight=".5pt">
                <v:stroke endarrow="block" joinstyle="miter"/>
              </v:shape>
            </w:pict>
          </mc:Fallback>
        </mc:AlternateContent>
      </w:r>
    </w:p>
    <w:p w14:paraId="3AC5E20D" w14:textId="7D6E2118" w:rsidR="00B23396" w:rsidRPr="006A7AE7" w:rsidRDefault="00B23396" w:rsidP="00B23396">
      <w:pPr>
        <w:jc w:val="both"/>
        <w:rPr>
          <w:rFonts w:ascii="Aptos" w:hAnsi="Aptos"/>
          <w:lang w:val="en-MY"/>
        </w:rPr>
      </w:pPr>
      <w:r w:rsidRPr="006A7AE7">
        <w:rPr>
          <w:rFonts w:ascii="Aptos" w:hAnsi="Aptos"/>
          <w:noProof/>
        </w:rPr>
        <mc:AlternateContent>
          <mc:Choice Requires="wps">
            <w:drawing>
              <wp:anchor distT="0" distB="0" distL="114300" distR="114300" simplePos="0" relativeHeight="251666432" behindDoc="0" locked="0" layoutInCell="1" allowOverlap="1" wp14:anchorId="2B230E81" wp14:editId="16E6DA13">
                <wp:simplePos x="0" y="0"/>
                <wp:positionH relativeFrom="column">
                  <wp:posOffset>1951990</wp:posOffset>
                </wp:positionH>
                <wp:positionV relativeFrom="paragraph">
                  <wp:posOffset>679450</wp:posOffset>
                </wp:positionV>
                <wp:extent cx="1347792" cy="612355"/>
                <wp:effectExtent l="0" t="0" r="24130" b="16510"/>
                <wp:wrapNone/>
                <wp:docPr id="1847924874" name="Rectangle 9"/>
                <wp:cNvGraphicFramePr/>
                <a:graphic xmlns:a="http://schemas.openxmlformats.org/drawingml/2006/main">
                  <a:graphicData uri="http://schemas.microsoft.com/office/word/2010/wordprocessingShape">
                    <wps:wsp>
                      <wps:cNvSpPr/>
                      <wps:spPr>
                        <a:xfrm>
                          <a:off x="0" y="0"/>
                          <a:ext cx="1347792" cy="61235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3C7E35E8" w14:textId="77777777" w:rsidR="00B23396" w:rsidRPr="0019186B" w:rsidRDefault="00B23396" w:rsidP="00B23396">
                            <w:pPr>
                              <w:spacing w:after="0"/>
                              <w:jc w:val="center"/>
                              <w:rPr>
                                <w:b/>
                                <w:bCs/>
                                <w:sz w:val="20"/>
                                <w:szCs w:val="20"/>
                                <w:lang w:val="en-MY"/>
                              </w:rPr>
                            </w:pPr>
                            <w:r w:rsidRPr="0019186B">
                              <w:rPr>
                                <w:b/>
                                <w:bCs/>
                                <w:sz w:val="20"/>
                                <w:szCs w:val="20"/>
                                <w:lang w:val="en-MY"/>
                              </w:rPr>
                              <w:t>Studies Included</w:t>
                            </w:r>
                          </w:p>
                          <w:p w14:paraId="50E6E14B" w14:textId="77777777" w:rsidR="00B23396" w:rsidRPr="0019186B" w:rsidRDefault="00B23396" w:rsidP="00B23396">
                            <w:pPr>
                              <w:spacing w:after="0"/>
                              <w:jc w:val="center"/>
                              <w:rPr>
                                <w:b/>
                                <w:bCs/>
                                <w:sz w:val="20"/>
                                <w:szCs w:val="20"/>
                                <w:lang w:val="en-MY"/>
                              </w:rPr>
                            </w:pPr>
                            <w:r w:rsidRPr="0019186B">
                              <w:rPr>
                                <w:b/>
                                <w:bCs/>
                                <w:sz w:val="20"/>
                                <w:szCs w:val="20"/>
                                <w:lang w:val="en-MY"/>
                              </w:rPr>
                              <w:t>(n=3</w:t>
                            </w:r>
                            <w:r>
                              <w:rPr>
                                <w:b/>
                                <w:bCs/>
                                <w:sz w:val="20"/>
                                <w:szCs w:val="20"/>
                                <w:lang w:val="en-MY"/>
                              </w:rPr>
                              <w:t>4</w:t>
                            </w:r>
                            <w:r w:rsidRPr="0019186B">
                              <w:rPr>
                                <w:b/>
                                <w:bCs/>
                                <w:sz w:val="20"/>
                                <w:szCs w:val="20"/>
                                <w:lang w:val="en-MY"/>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30E81" id="Rectangle 9" o:spid="_x0000_s1030" style="position:absolute;left:0;text-align:left;margin-left:153.7pt;margin-top:53.5pt;width:106.15pt;height:4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" fillcolor="#c3c3c3 [2166]" strokecolor="#a5a5a5 [3206]" strokeweight=".5pt">
                <v:fill color2="#b6b6b6 [2614]" rotate="t" colors="0 #d2d2d2;.5 #c8c8c8;1 silver" focus="100%" type="gradient">
                  <o:fill v:ext="view" type="gradientUnscaled"/>
                </v:fill>
                <v:textbox>
                  <w:txbxContent>
                    <w:p w14:paraId="3C7E35E8" w14:textId="77777777" w:rsidR="00B23396" w:rsidRPr="0019186B" w:rsidRDefault="00B23396" w:rsidP="00B23396">
                      <w:pPr>
                        <w:spacing w:after="0"/>
                        <w:jc w:val="center"/>
                        <w:rPr>
                          <w:b/>
                          <w:bCs/>
                          <w:sz w:val="20"/>
                          <w:szCs w:val="20"/>
                          <w:lang w:val="en-MY"/>
                        </w:rPr>
                      </w:pPr>
                      <w:r w:rsidRPr="0019186B">
                        <w:rPr>
                          <w:b/>
                          <w:bCs/>
                          <w:sz w:val="20"/>
                          <w:szCs w:val="20"/>
                          <w:lang w:val="en-MY"/>
                        </w:rPr>
                        <w:t>Studies Included</w:t>
                      </w:r>
                    </w:p>
                    <w:p w14:paraId="50E6E14B" w14:textId="77777777" w:rsidR="00B23396" w:rsidRPr="0019186B" w:rsidRDefault="00B23396" w:rsidP="00B23396">
                      <w:pPr>
                        <w:spacing w:after="0"/>
                        <w:jc w:val="center"/>
                        <w:rPr>
                          <w:b/>
                          <w:bCs/>
                          <w:sz w:val="20"/>
                          <w:szCs w:val="20"/>
                          <w:lang w:val="en-MY"/>
                        </w:rPr>
                      </w:pPr>
                      <w:r w:rsidRPr="0019186B">
                        <w:rPr>
                          <w:b/>
                          <w:bCs/>
                          <w:sz w:val="20"/>
                          <w:szCs w:val="20"/>
                          <w:lang w:val="en-MY"/>
                        </w:rPr>
                        <w:t>(n=3</w:t>
                      </w:r>
                      <w:r>
                        <w:rPr>
                          <w:b/>
                          <w:bCs/>
                          <w:sz w:val="20"/>
                          <w:szCs w:val="20"/>
                          <w:lang w:val="en-MY"/>
                        </w:rPr>
                        <w:t>4</w:t>
                      </w:r>
                      <w:r w:rsidRPr="0019186B">
                        <w:rPr>
                          <w:b/>
                          <w:bCs/>
                          <w:sz w:val="20"/>
                          <w:szCs w:val="20"/>
                          <w:lang w:val="en-MY"/>
                        </w:rPr>
                        <w:t>)</w:t>
                      </w:r>
                    </w:p>
                  </w:txbxContent>
                </v:textbox>
              </v:rect>
            </w:pict>
          </mc:Fallback>
        </mc:AlternateContent>
      </w:r>
    </w:p>
    <w:p w14:paraId="547DE49D" w14:textId="496ADB3D" w:rsidR="00B23396" w:rsidRPr="006A7AE7" w:rsidRDefault="00B23396" w:rsidP="00B23396">
      <w:pPr>
        <w:keepNext/>
        <w:jc w:val="center"/>
        <w:rPr>
          <w:rFonts w:ascii="Aptos" w:hAnsi="Aptos"/>
        </w:rPr>
      </w:pPr>
    </w:p>
    <w:p w14:paraId="7CB83758" w14:textId="3B27B596" w:rsidR="00B23396" w:rsidRPr="006A7AE7" w:rsidRDefault="00B23396" w:rsidP="00B23396">
      <w:pPr>
        <w:keepNext/>
        <w:jc w:val="center"/>
        <w:rPr>
          <w:rFonts w:ascii="Aptos" w:hAnsi="Aptos"/>
        </w:rPr>
      </w:pPr>
    </w:p>
    <w:p w14:paraId="423022C7" w14:textId="77777777" w:rsidR="00B23396" w:rsidRPr="006A7AE7" w:rsidRDefault="00B23396" w:rsidP="00B23396">
      <w:pPr>
        <w:keepNext/>
        <w:jc w:val="center"/>
        <w:rPr>
          <w:rFonts w:ascii="Aptos" w:hAnsi="Aptos"/>
        </w:rPr>
      </w:pPr>
    </w:p>
    <w:p w14:paraId="26958F61" w14:textId="77777777" w:rsidR="00B23396" w:rsidRDefault="00B23396" w:rsidP="00B23396">
      <w:pPr>
        <w:pStyle w:val="Caption"/>
        <w:spacing w:after="0" w:line="240" w:lineRule="auto"/>
        <w:rPr>
          <w:rFonts w:ascii="Calibri" w:hAnsi="Calibri" w:cs="Calibri"/>
          <w:sz w:val="24"/>
          <w:szCs w:val="24"/>
        </w:rPr>
      </w:pPr>
    </w:p>
    <w:p w14:paraId="1ABA9432" w14:textId="505BB4BC" w:rsidR="00B23396" w:rsidRPr="00B23396" w:rsidRDefault="00B23396" w:rsidP="00B23396">
      <w:pPr>
        <w:pStyle w:val="Caption"/>
        <w:spacing w:after="0" w:line="240" w:lineRule="auto"/>
        <w:rPr>
          <w:rFonts w:ascii="Calibri" w:hAnsi="Calibri" w:cs="Calibri"/>
          <w:b w:val="0"/>
          <w:bCs w:val="0"/>
          <w:sz w:val="24"/>
          <w:szCs w:val="24"/>
        </w:rPr>
      </w:pPr>
      <w:r w:rsidRPr="00B23396">
        <w:rPr>
          <w:rFonts w:ascii="Calibri" w:hAnsi="Calibri" w:cs="Calibri"/>
          <w:b w:val="0"/>
          <w:bCs w:val="0"/>
          <w:sz w:val="24"/>
          <w:szCs w:val="24"/>
        </w:rPr>
        <w:t xml:space="preserve">Figure </w:t>
      </w:r>
      <w:r w:rsidRPr="00B23396">
        <w:rPr>
          <w:rFonts w:ascii="Calibri" w:hAnsi="Calibri" w:cs="Calibri"/>
          <w:b w:val="0"/>
          <w:bCs w:val="0"/>
          <w:sz w:val="24"/>
          <w:szCs w:val="24"/>
        </w:rPr>
        <w:fldChar w:fldCharType="begin"/>
      </w:r>
      <w:r w:rsidRPr="00B23396">
        <w:rPr>
          <w:rFonts w:ascii="Calibri" w:hAnsi="Calibri" w:cs="Calibri"/>
          <w:b w:val="0"/>
          <w:bCs w:val="0"/>
          <w:sz w:val="24"/>
          <w:szCs w:val="24"/>
        </w:rPr>
        <w:instrText xml:space="preserve"> SEQ Figure \* ARABIC </w:instrText>
      </w:r>
      <w:r w:rsidRPr="00B23396">
        <w:rPr>
          <w:rFonts w:ascii="Calibri" w:hAnsi="Calibri" w:cs="Calibri"/>
          <w:b w:val="0"/>
          <w:bCs w:val="0"/>
          <w:sz w:val="24"/>
          <w:szCs w:val="24"/>
        </w:rPr>
        <w:fldChar w:fldCharType="separate"/>
      </w:r>
      <w:r w:rsidR="00174DF2">
        <w:rPr>
          <w:rFonts w:ascii="Calibri" w:hAnsi="Calibri" w:cs="Calibri"/>
          <w:b w:val="0"/>
          <w:bCs w:val="0"/>
          <w:noProof/>
          <w:sz w:val="24"/>
          <w:szCs w:val="24"/>
        </w:rPr>
        <w:t>2</w:t>
      </w:r>
      <w:r w:rsidRPr="00B23396">
        <w:rPr>
          <w:rFonts w:ascii="Calibri" w:hAnsi="Calibri" w:cs="Calibri"/>
          <w:b w:val="0"/>
          <w:bCs w:val="0"/>
          <w:noProof/>
          <w:sz w:val="24"/>
          <w:szCs w:val="24"/>
        </w:rPr>
        <w:fldChar w:fldCharType="end"/>
      </w:r>
      <w:r w:rsidRPr="00B23396">
        <w:rPr>
          <w:rFonts w:ascii="Calibri" w:hAnsi="Calibri" w:cs="Calibri"/>
          <w:b w:val="0"/>
          <w:bCs w:val="0"/>
          <w:sz w:val="24"/>
          <w:szCs w:val="24"/>
        </w:rPr>
        <w:t>: Inclusion and Exclusion criteria in TreZ (</w:t>
      </w:r>
      <w:proofErr w:type="spellStart"/>
      <w:r w:rsidRPr="00B23396">
        <w:rPr>
          <w:rFonts w:ascii="Calibri" w:hAnsi="Calibri" w:cs="Calibri"/>
          <w:b w:val="0"/>
          <w:bCs w:val="0"/>
          <w:sz w:val="24"/>
          <w:szCs w:val="24"/>
        </w:rPr>
        <w:t>Zairul</w:t>
      </w:r>
      <w:proofErr w:type="spellEnd"/>
      <w:r w:rsidRPr="00B23396">
        <w:rPr>
          <w:rFonts w:ascii="Calibri" w:hAnsi="Calibri" w:cs="Calibri"/>
          <w:b w:val="0"/>
          <w:bCs w:val="0"/>
          <w:sz w:val="24"/>
          <w:szCs w:val="24"/>
        </w:rPr>
        <w:t>, 2023)</w:t>
      </w:r>
    </w:p>
    <w:p w14:paraId="671D63D4" w14:textId="77777777" w:rsidR="00B23396" w:rsidRPr="00B23396" w:rsidRDefault="00B23396" w:rsidP="00B23396"/>
    <w:p w14:paraId="02D41470" w14:textId="77777777" w:rsidR="00B23396" w:rsidRDefault="00B23396" w:rsidP="00B23396">
      <w:pPr>
        <w:spacing w:after="0" w:line="240" w:lineRule="auto"/>
        <w:jc w:val="both"/>
        <w:rPr>
          <w:rFonts w:ascii="Calibri" w:hAnsi="Calibri" w:cs="Calibri"/>
          <w:sz w:val="24"/>
          <w:szCs w:val="24"/>
          <w:lang w:val="en-MY"/>
        </w:rPr>
      </w:pPr>
      <w:r w:rsidRPr="00000592">
        <w:rPr>
          <w:rFonts w:ascii="Calibri" w:hAnsi="Calibri" w:cs="Calibri"/>
          <w:sz w:val="24"/>
          <w:szCs w:val="24"/>
          <w:lang w:val="en-MY"/>
        </w:rPr>
        <w:lastRenderedPageBreak/>
        <w:t>The research commenced with carefully developing crafted queries specifically designed to align with the research objectives. These targeted queries were employed across two prominent academic databases, SCOPUS and Web of Science. Through this comprehensive approach, the researchers were able to uncover 26 records from SCOPUS and 21 records from Web of Science. The initial search results yielded a wide-ranging collection of literature, encompassing various aspects relevant to the topic of interest.</w:t>
      </w:r>
    </w:p>
    <w:p w14:paraId="24506710" w14:textId="77777777" w:rsidR="00B23396" w:rsidRPr="00000592" w:rsidRDefault="00B23396" w:rsidP="00B23396">
      <w:pPr>
        <w:spacing w:after="0" w:line="240" w:lineRule="auto"/>
        <w:jc w:val="both"/>
        <w:rPr>
          <w:rFonts w:ascii="Calibri" w:hAnsi="Calibri" w:cs="Calibri"/>
          <w:sz w:val="24"/>
          <w:szCs w:val="24"/>
          <w:lang w:val="en-MY"/>
        </w:rPr>
      </w:pPr>
    </w:p>
    <w:p w14:paraId="1D20D119" w14:textId="77777777" w:rsidR="00B23396" w:rsidRDefault="00B23396" w:rsidP="00B23396">
      <w:pPr>
        <w:spacing w:after="0" w:line="240" w:lineRule="auto"/>
        <w:jc w:val="both"/>
        <w:rPr>
          <w:rFonts w:ascii="Calibri" w:hAnsi="Calibri" w:cs="Calibri"/>
          <w:sz w:val="24"/>
          <w:szCs w:val="24"/>
          <w:lang w:val="en-MY"/>
        </w:rPr>
      </w:pPr>
      <w:r w:rsidRPr="00000592">
        <w:rPr>
          <w:rFonts w:ascii="Calibri" w:hAnsi="Calibri" w:cs="Calibri"/>
          <w:sz w:val="24"/>
          <w:szCs w:val="24"/>
          <w:lang w:val="en-MY"/>
        </w:rPr>
        <w:t>Upon merging the findings from both databases, the researchers undertook the critical task of identifying and eliminating duplicate entries to ensure the integrity and uniqueness of each record for subsequent evaluations. During this meticulous process, a total of nine duplicate records were recognised and excluded from the overall dataset. A rigorous screening phase followed, where the consolidated list of records was assessed against a set of meticulously crafted inclusion and exclusion criteria. These criteria were developed with a keen focus on the research questions and goals, ensuring high relevance to the subject matter. The thorough screening uncovered records with a value of four (“4”) —indicating they did not meet the established criteria and should be discarded. This was done to ensure that only the most pertinent studies were retained for further analysis.</w:t>
      </w:r>
    </w:p>
    <w:p w14:paraId="667E50A8" w14:textId="77777777" w:rsidR="00B23396" w:rsidRPr="00000592" w:rsidRDefault="00B23396" w:rsidP="00B23396">
      <w:pPr>
        <w:spacing w:after="0" w:line="240" w:lineRule="auto"/>
        <w:jc w:val="both"/>
        <w:rPr>
          <w:rFonts w:ascii="Calibri" w:hAnsi="Calibri" w:cs="Calibri"/>
          <w:sz w:val="24"/>
          <w:szCs w:val="24"/>
          <w:lang w:val="en-MY"/>
        </w:rPr>
      </w:pPr>
    </w:p>
    <w:p w14:paraId="0F027FB5" w14:textId="77777777" w:rsidR="00B23396" w:rsidRPr="00000592" w:rsidRDefault="00B23396" w:rsidP="00B23396">
      <w:pPr>
        <w:spacing w:after="0" w:line="240" w:lineRule="auto"/>
        <w:jc w:val="both"/>
        <w:rPr>
          <w:rFonts w:ascii="Calibri" w:hAnsi="Calibri" w:cs="Calibri"/>
          <w:sz w:val="24"/>
          <w:szCs w:val="24"/>
          <w:lang w:val="en-MY"/>
        </w:rPr>
      </w:pPr>
      <w:r w:rsidRPr="00000592">
        <w:rPr>
          <w:rFonts w:ascii="Calibri" w:hAnsi="Calibri" w:cs="Calibri"/>
          <w:sz w:val="24"/>
          <w:szCs w:val="24"/>
          <w:lang w:val="en-MY"/>
        </w:rPr>
        <w:t>In total, 34 studies that meet the comprehensive eligibility requirements at the outset were selected for the systematic review. These studies were anticipated to offer significant insights that directly address the research questions. As outlined, the systematic and thorough approach to the study selection process underscores the diligence and rigour necessary for conducting a complete and reliable review. By meticulously sifting through the literature, the researchers aimed to minimise biases and enhance the credibility of the conclusions drawn from the review. This report is a foundational element of the review paper, providing essential clarity and transparency regarding the methods employed in the study selection process. This aspect is also vital for ensuring the replicability of the findings and fostering trust among readers (see Figure 2).</w:t>
      </w:r>
    </w:p>
    <w:p w14:paraId="0C34B3AA" w14:textId="77777777" w:rsidR="00B23396" w:rsidRDefault="00B23396" w:rsidP="00B23396">
      <w:pPr>
        <w:pBdr>
          <w:top w:val="nil"/>
          <w:left w:val="nil"/>
          <w:bottom w:val="nil"/>
          <w:right w:val="nil"/>
          <w:between w:val="nil"/>
        </w:pBdr>
        <w:spacing w:after="0" w:line="240" w:lineRule="auto"/>
        <w:outlineLvl w:val="1"/>
        <w:rPr>
          <w:rFonts w:ascii="Calibri" w:hAnsi="Calibri" w:cs="Calibri"/>
          <w:sz w:val="24"/>
          <w:szCs w:val="24"/>
          <w:lang w:val="en-MY"/>
        </w:rPr>
      </w:pPr>
    </w:p>
    <w:p w14:paraId="4561128B" w14:textId="2452813C" w:rsidR="00B23396" w:rsidRPr="00000592" w:rsidRDefault="00B23396" w:rsidP="00B23396">
      <w:pPr>
        <w:pBdr>
          <w:top w:val="nil"/>
          <w:left w:val="nil"/>
          <w:bottom w:val="nil"/>
          <w:right w:val="nil"/>
          <w:between w:val="nil"/>
        </w:pBdr>
        <w:spacing w:after="0" w:line="240" w:lineRule="auto"/>
        <w:outlineLvl w:val="1"/>
        <w:rPr>
          <w:rFonts w:ascii="Calibri" w:hAnsi="Calibri" w:cs="Calibri"/>
          <w:b/>
          <w:color w:val="000000"/>
          <w:sz w:val="24"/>
          <w:szCs w:val="24"/>
        </w:rPr>
      </w:pPr>
      <w:r w:rsidRPr="00000592">
        <w:rPr>
          <w:rFonts w:ascii="Calibri" w:hAnsi="Calibri" w:cs="Calibri"/>
          <w:b/>
          <w:color w:val="000000"/>
          <w:sz w:val="24"/>
          <w:szCs w:val="24"/>
        </w:rPr>
        <w:t>Results and Discussions</w:t>
      </w:r>
    </w:p>
    <w:p w14:paraId="381134E4" w14:textId="77777777" w:rsidR="00B23396" w:rsidRDefault="00B23396" w:rsidP="00B23396">
      <w:pPr>
        <w:pStyle w:val="NormalWeb"/>
        <w:spacing w:before="0" w:beforeAutospacing="0" w:after="0" w:afterAutospacing="0"/>
        <w:jc w:val="both"/>
        <w:rPr>
          <w:rFonts w:ascii="Calibri" w:eastAsia="Calibri" w:hAnsi="Calibri" w:cs="Calibri"/>
        </w:rPr>
      </w:pPr>
      <w:r w:rsidRPr="00000592">
        <w:rPr>
          <w:rFonts w:ascii="Calibri" w:eastAsia="Calibri" w:hAnsi="Calibri" w:cs="Calibri"/>
        </w:rPr>
        <w:t>This thematic review (TreZ) presents a comprehensive five-year overview (2018–2024) of studies on waqf and sustainability. The selected studies underscore the critical role of waqf in socio-economic development, highlighting its significant impact on economic, social, and environmental dimensions. Waqf's contributions are central to achieving the Sustainable Development Goals (SDGs), particularly in eradicating poverty and fostering equitable wealth distribution. However, ensuring the sustainability of waqf requires innovative models, enhanced practices, and strengthened governance to optimise financial, social, and environmental outcomes.</w:t>
      </w:r>
    </w:p>
    <w:p w14:paraId="2F9C5747" w14:textId="77777777" w:rsidR="00B23396" w:rsidRPr="00000592" w:rsidRDefault="00B23396" w:rsidP="00B23396">
      <w:pPr>
        <w:pStyle w:val="NormalWeb"/>
        <w:spacing w:before="0" w:beforeAutospacing="0" w:after="0" w:afterAutospacing="0"/>
        <w:jc w:val="both"/>
        <w:rPr>
          <w:rFonts w:ascii="Calibri" w:eastAsia="Calibri" w:hAnsi="Calibri" w:cs="Calibri"/>
        </w:rPr>
      </w:pPr>
    </w:p>
    <w:p w14:paraId="0726D2DE" w14:textId="77777777" w:rsidR="00B23396" w:rsidRDefault="00B23396" w:rsidP="00B23396">
      <w:pPr>
        <w:pStyle w:val="NormalWeb"/>
        <w:spacing w:before="0" w:beforeAutospacing="0" w:after="0" w:afterAutospacing="0"/>
        <w:jc w:val="both"/>
        <w:rPr>
          <w:rFonts w:ascii="Calibri" w:eastAsia="Calibri" w:hAnsi="Calibri" w:cs="Calibri"/>
        </w:rPr>
      </w:pPr>
      <w:r w:rsidRPr="00000592">
        <w:rPr>
          <w:rFonts w:ascii="Calibri" w:eastAsia="Calibri" w:hAnsi="Calibri" w:cs="Calibri"/>
        </w:rPr>
        <w:t xml:space="preserve">The findings reveal that waqf can be a powerful tool for sustainable development when integrated with modern management practices and technologies. For instance, the Green Waqf model aligns waqf activities with SDG objectives, such as preserving terrestrial ecosystems, addressing environmental challenges, and promoting sustainability (Anas et al., 2020; </w:t>
      </w:r>
      <w:proofErr w:type="spellStart"/>
      <w:r w:rsidRPr="00000592">
        <w:rPr>
          <w:rFonts w:ascii="Calibri" w:eastAsia="Calibri" w:hAnsi="Calibri" w:cs="Calibri"/>
        </w:rPr>
        <w:t>Rusydiana</w:t>
      </w:r>
      <w:proofErr w:type="spellEnd"/>
      <w:r w:rsidRPr="00000592">
        <w:rPr>
          <w:rFonts w:ascii="Calibri" w:eastAsia="Calibri" w:hAnsi="Calibri" w:cs="Calibri"/>
        </w:rPr>
        <w:t xml:space="preserve"> et al., 2023). Similarly, initiatives like agroforestry in waqf forests in Indonesia illustrate how waqf can enhance biodiversity and forest health while delivering social and economic benefits (Jannah et al., 2021).In addition, the integration of technology and innovative governance models, such as the Waqf Integrated Income Generating Model </w:t>
      </w:r>
      <w:r w:rsidRPr="00000592">
        <w:rPr>
          <w:rFonts w:ascii="Calibri" w:eastAsia="Calibri" w:hAnsi="Calibri" w:cs="Calibri"/>
        </w:rPr>
        <w:lastRenderedPageBreak/>
        <w:t>(WIIGM), has demonstrated the potential to generate sustainable income and strengthen public trust in waqf institutions (S. S. Ibrahim et al., 2022; S. S. B. Ibrahim et al., 2019). Despite these advancements, significant challenges persist. Governance, transparency, and standardisation of waqf management practices remain critical issues that must be addressed to fully realise waqf's potential in advancing sustainable development (Yunus et al., 2024).</w:t>
      </w:r>
    </w:p>
    <w:p w14:paraId="23BE6CFA" w14:textId="77777777" w:rsidR="00B23396" w:rsidRPr="00000592" w:rsidRDefault="00B23396" w:rsidP="00B23396">
      <w:pPr>
        <w:pStyle w:val="NormalWeb"/>
        <w:spacing w:before="0" w:beforeAutospacing="0" w:after="0" w:afterAutospacing="0"/>
        <w:jc w:val="both"/>
        <w:rPr>
          <w:rFonts w:ascii="Calibri" w:eastAsia="Calibri" w:hAnsi="Calibri" w:cs="Calibri"/>
        </w:rPr>
      </w:pPr>
    </w:p>
    <w:p w14:paraId="77743F6C" w14:textId="77777777" w:rsidR="00B23396" w:rsidRPr="00000592" w:rsidRDefault="00B23396" w:rsidP="00B23396">
      <w:pPr>
        <w:pStyle w:val="NormalWeb"/>
        <w:spacing w:before="0" w:beforeAutospacing="0" w:after="0" w:afterAutospacing="0"/>
        <w:jc w:val="both"/>
        <w:rPr>
          <w:rFonts w:ascii="Calibri" w:eastAsia="Calibri" w:hAnsi="Calibri" w:cs="Calibri"/>
        </w:rPr>
      </w:pPr>
      <w:r w:rsidRPr="00000592">
        <w:rPr>
          <w:rFonts w:ascii="Calibri" w:eastAsia="Calibri" w:hAnsi="Calibri" w:cs="Calibri"/>
        </w:rPr>
        <w:t>This article delves into these themes, analysing the current state of waqf sustainability, the obstacles encountered, and the innovative approaches being explored to enhance waqf's role in sustainable development. By addressing these issues, waqf institutions can better fulfil their traditional roles while meeting contemporary economic, social, and environmental sustainability needs. The review enriches the existing body of literature by offering valuable insights into the practical implementation of waqf and its alignment with sustainability goals. It highlights key areas where waqf can substantially contribute to economic, social, and environmental sustainability. Furthermore, the findings integrate quantitative analysis to address the first research question and qualitative evaluation to explore the second, providing a well-rounded perspective on the trends and developments in waqf sustainability research from 2018 to 2024.</w:t>
      </w:r>
    </w:p>
    <w:p w14:paraId="41B21BF4" w14:textId="77777777" w:rsidR="00B23396" w:rsidRPr="00B23396" w:rsidRDefault="00B23396" w:rsidP="00B23396">
      <w:pPr>
        <w:spacing w:after="0" w:line="240" w:lineRule="auto"/>
        <w:rPr>
          <w:rFonts w:ascii="Calibri" w:hAnsi="Calibri" w:cs="Calibri"/>
          <w:bCs/>
          <w:sz w:val="24"/>
          <w:szCs w:val="24"/>
        </w:rPr>
      </w:pPr>
      <w:r w:rsidRPr="00B23396">
        <w:rPr>
          <w:rFonts w:ascii="Calibri" w:hAnsi="Calibri" w:cs="Calibri"/>
          <w:bCs/>
          <w:sz w:val="24"/>
          <w:szCs w:val="24"/>
        </w:rPr>
        <w:t>What are the current trends in WAQF and sustainability publications found in the literature from 2018- 2024?</w:t>
      </w:r>
    </w:p>
    <w:p w14:paraId="68E73415" w14:textId="77777777" w:rsidR="00B23396" w:rsidRPr="00000592" w:rsidRDefault="00B23396" w:rsidP="00B23396">
      <w:pPr>
        <w:spacing w:after="0" w:line="240" w:lineRule="auto"/>
        <w:jc w:val="center"/>
        <w:rPr>
          <w:rFonts w:ascii="Calibri" w:hAnsi="Calibri" w:cs="Calibri"/>
          <w:b/>
          <w:sz w:val="24"/>
          <w:szCs w:val="24"/>
        </w:rPr>
      </w:pPr>
    </w:p>
    <w:p w14:paraId="08C5FEAC" w14:textId="2DE4959D" w:rsidR="00B23396" w:rsidRPr="00B23396" w:rsidRDefault="00B23396" w:rsidP="00B23396">
      <w:pPr>
        <w:spacing w:after="0" w:line="240" w:lineRule="auto"/>
        <w:jc w:val="both"/>
        <w:outlineLvl w:val="2"/>
        <w:rPr>
          <w:rFonts w:ascii="Calibri" w:hAnsi="Calibri" w:cs="Calibri"/>
          <w:i/>
          <w:iCs/>
          <w:sz w:val="24"/>
          <w:szCs w:val="24"/>
        </w:rPr>
      </w:pPr>
      <w:r w:rsidRPr="00B23396">
        <w:rPr>
          <w:rFonts w:ascii="Calibri" w:hAnsi="Calibri" w:cs="Calibri"/>
          <w:i/>
          <w:iCs/>
          <w:sz w:val="24"/>
          <w:szCs w:val="24"/>
        </w:rPr>
        <w:t>Quantitative Reporting</w:t>
      </w:r>
    </w:p>
    <w:p w14:paraId="2EC7B552" w14:textId="77777777" w:rsidR="00B23396" w:rsidRPr="00000592" w:rsidRDefault="00B23396" w:rsidP="00B23396">
      <w:pPr>
        <w:spacing w:after="0" w:line="240" w:lineRule="auto"/>
        <w:jc w:val="both"/>
        <w:rPr>
          <w:rFonts w:ascii="Calibri" w:hAnsi="Calibri" w:cs="Calibri"/>
          <w:sz w:val="24"/>
          <w:szCs w:val="24"/>
          <w:lang w:val="en-MY"/>
        </w:rPr>
      </w:pPr>
      <w:r w:rsidRPr="00000592">
        <w:rPr>
          <w:rFonts w:ascii="Calibri" w:hAnsi="Calibri" w:cs="Calibri"/>
          <w:sz w:val="24"/>
          <w:szCs w:val="24"/>
          <w:lang w:val="en-MY"/>
        </w:rPr>
        <w:t xml:space="preserve">The 34 data show a steady academic interest in waqf sustainability from 2018 to 2023, with notable peaks in 2019 and 2020, each with seven publications. These peaks suggest a growing focus on waqf as a critical economic and social development area. Topics such as financial sustainability </w:t>
      </w:r>
      <w:r w:rsidRPr="00000592">
        <w:rPr>
          <w:rFonts w:ascii="Calibri" w:hAnsi="Calibri" w:cs="Calibri"/>
          <w:sz w:val="24"/>
          <w:szCs w:val="24"/>
          <w:lang w:val="en-MY"/>
        </w:rPr>
        <w:fldChar w:fldCharType="begin" w:fldLock="1"/>
      </w:r>
      <w:r w:rsidRPr="00000592">
        <w:rPr>
          <w:rFonts w:ascii="Calibri" w:hAnsi="Calibri" w:cs="Calibri"/>
          <w:sz w:val="24"/>
          <w:szCs w:val="24"/>
          <w:lang w:val="en-MY"/>
        </w:rPr>
        <w:instrText>ADDIN CSL_CITATION {"citationItems":[{"id":"ITEM-1","itemData":{"DOI":"10.1108/IJEM-06-2017-0140","ISSN":"0951354X","abstract":"Purpose: The purpose of this paper is twofold: first, to elicit perceptions of senior officers on the overall financial sustainability of their institutions; and, second, to examine senior officers’ perceptions on important revenue diversification and cost management practices. Design/methodology/approach: The study employed a questionnaire survey with senior academic and administrative staff of the 20 public universities in Malaysia. In total, 275 questionnaires were distributed and 69 were returned, yielding a response rate of 25.09 per cent. Descriptive statistics were used to analyse the general perceptions of the survey respondents on public university financial sustainability issues. Findings: The study suggests that respondents are receptive of the financial sustainability challenges faced by their institutions. Respondents agree that increasing tuition fees may not be a feasible revenue enhancement strategy for public universities. Instead, all respondents agree that full utilisation of resources will be a key strategy that the universities can apply. Originality/value: This study contributes to the limited research on the financial sustainability of public universities in developing countries. Findings of the study have implications for the financial management and governance of public universities in Malaysia and other countries facing similar fiscal challenges. The findings of the study also provide important empirical evidence for future work in the area.","author":[{"dropping-particle":"","family":"Nik Ahmad","given":"Nik Nazli","non-dropping-particle":"","parse-names":false,"suffix":""},{"dropping-particle":"","family":"Ismail","given":"Suhaiza","non-dropping-particle":"","parse-names":false,"suffix":""},{"dropping-particle":"","family":"Siraj","given":"Siti Alawiah","non-dropping-particle":"","parse-names":false,"suffix":""}],"container-title":"International Journal of Educational Management","id":"ITEM-1","issue":"2","issued":{"date-parts":[["2019"]]},"page":"317-334","title":"Financial sustainability of Malaysian public universities: officers’ perceptions","type":"article-journal","volume":"33"},"uris":["http://www.mendeley.com/documents/?uuid=795e4ff5-dd60-46d3-a78b-51d5c9b14ad9"]}],"mendeley":{"formattedCitation":"(Nik Ahmad et al., 2019)","manualFormatting":"(Nik Ahmad et al., 2019","plainTextFormattedCitation":"(Nik Ahmad et al., 2019)","previouslyFormattedCitation":"(Nik Ahmad et al., 2019)"},"properties":{"noteIndex":0},"schema":"https://github.com/citation-style-language/schema/raw/master/csl-citation.json"}</w:instrText>
      </w:r>
      <w:r w:rsidRPr="00000592">
        <w:rPr>
          <w:rFonts w:ascii="Calibri" w:hAnsi="Calibri" w:cs="Calibri"/>
          <w:sz w:val="24"/>
          <w:szCs w:val="24"/>
          <w:lang w:val="en-MY"/>
        </w:rPr>
        <w:fldChar w:fldCharType="separate"/>
      </w:r>
      <w:r w:rsidRPr="00000592">
        <w:rPr>
          <w:rFonts w:ascii="Calibri" w:hAnsi="Calibri" w:cs="Calibri"/>
          <w:noProof/>
          <w:sz w:val="24"/>
          <w:szCs w:val="24"/>
          <w:lang w:val="en-MY"/>
        </w:rPr>
        <w:t>(Nik Ahmad et al., 2019</w:t>
      </w:r>
      <w:r w:rsidRPr="00000592">
        <w:rPr>
          <w:rFonts w:ascii="Calibri" w:hAnsi="Calibri" w:cs="Calibri"/>
          <w:sz w:val="24"/>
          <w:szCs w:val="24"/>
          <w:lang w:val="en-MY"/>
        </w:rPr>
        <w:fldChar w:fldCharType="end"/>
      </w:r>
      <w:r w:rsidRPr="00000592">
        <w:rPr>
          <w:rFonts w:ascii="Calibri" w:hAnsi="Calibri" w:cs="Calibri"/>
          <w:sz w:val="24"/>
          <w:szCs w:val="24"/>
          <w:lang w:val="en-MY"/>
        </w:rPr>
        <w:t xml:space="preserve">; </w:t>
      </w:r>
      <w:r w:rsidRPr="00000592">
        <w:rPr>
          <w:rFonts w:ascii="Calibri" w:hAnsi="Calibri" w:cs="Calibri"/>
          <w:sz w:val="24"/>
          <w:szCs w:val="24"/>
          <w:lang w:val="en-MY"/>
        </w:rPr>
        <w:fldChar w:fldCharType="begin" w:fldLock="1"/>
      </w:r>
      <w:r w:rsidRPr="00000592">
        <w:rPr>
          <w:rFonts w:ascii="Calibri" w:hAnsi="Calibri" w:cs="Calibri"/>
          <w:sz w:val="24"/>
          <w:szCs w:val="24"/>
          <w:lang w:val="en-MY"/>
        </w:rPr>
        <w:instrText>ADDIN CSL_CITATION {"citationItems":[{"id":"ITEM-1","itemData":{"DOI":"10.1108/IJIF-02-2018-0019","ISSN":"22894365","abstract":"Purpose: This paper aims to present the viability of unit trust waqf (Islamic endowment) as an alternative asset class for waqf creation. Design/methodology/approach: This paper starts with the conceptual exploration of the literature in the areas of waqf. The sources of the literature cover authentic sources of the Qurʾān and ḥadīth, as well as secondary sources such as books, journal articles and online resources. Findings: This paper provides the conceptual framework of five models of unit trust waqf and their investment management parameters. Originality/value: The novelty of this paper lies in its attempt to highlight the importance of waqf investment strategy in ensuring sustainable returns for waqf. It does so by introducing the conceptual models of unit trust waqf as viable mechanisms to pool more cash waqf from individual investors. The sustainability of the capital waqf assets in the form of unit trusts is maintained through the parameters for its application proposed towards the end of the paper.","author":[{"dropping-particle":"","family":"Sulaiman","given":"Syahnaz","non-dropping-particle":"","parse-names":false,"suffix":""},{"dropping-particle":"","family":"Hasan","given":"Aznan","non-dropping-particle":"","parse-names":false,"suffix":""},{"dropping-particle":"","family":"Mohd Noor","given":"Azman","non-dropping-particle":"","parse-names":false,"suffix":""},{"dropping-particle":"","family":"Ismail","given":"Muhd Issyam","non-dropping-particle":"","parse-names":false,"suffix":""},{"dropping-particle":"","family":"Noordin","given":"Nazrul Hazizi","non-dropping-particle":"","parse-names":false,"suffix":""}],"container-title":"ISRA International Journal of Islamic Finance","id":"ITEM-1","issue":"1","issued":{"date-parts":[["2019"]]},"page":"62-81","title":"Proposed models for unit trust waqf and the parameters for their application","type":"article-journal","volume":"11"},"uris":["http://www.mendeley.com/documents/?uuid=3c76b58f-eb77-45e9-bd17-86816237bc23"]}],"mendeley":{"formattedCitation":"(S. Sulaiman et al., 2019)","manualFormatting":"Sulaiman et al., 2019)","plainTextFormattedCitation":"(S. Sulaiman et al., 2019)","previouslyFormattedCitation":"(S. Sulaiman et al., 2019)"},"properties":{"noteIndex":0},"schema":"https://github.com/citation-style-language/schema/raw/master/csl-citation.json"}</w:instrText>
      </w:r>
      <w:r w:rsidRPr="00000592">
        <w:rPr>
          <w:rFonts w:ascii="Calibri" w:hAnsi="Calibri" w:cs="Calibri"/>
          <w:sz w:val="24"/>
          <w:szCs w:val="24"/>
          <w:lang w:val="en-MY"/>
        </w:rPr>
        <w:fldChar w:fldCharType="separate"/>
      </w:r>
      <w:r w:rsidRPr="00000592">
        <w:rPr>
          <w:rFonts w:ascii="Calibri" w:hAnsi="Calibri" w:cs="Calibri"/>
          <w:noProof/>
          <w:sz w:val="24"/>
          <w:szCs w:val="24"/>
          <w:lang w:val="en-MY"/>
        </w:rPr>
        <w:t>Sulaiman et al., 2019)</w:t>
      </w:r>
      <w:r w:rsidRPr="00000592">
        <w:rPr>
          <w:rFonts w:ascii="Calibri" w:hAnsi="Calibri" w:cs="Calibri"/>
          <w:sz w:val="24"/>
          <w:szCs w:val="24"/>
          <w:lang w:val="en-MY"/>
        </w:rPr>
        <w:fldChar w:fldCharType="end"/>
      </w:r>
      <w:r w:rsidRPr="00000592">
        <w:rPr>
          <w:rFonts w:ascii="Calibri" w:hAnsi="Calibri" w:cs="Calibri"/>
          <w:sz w:val="24"/>
          <w:szCs w:val="24"/>
          <w:lang w:val="en-MY"/>
        </w:rPr>
        <w:t xml:space="preserve">, governance </w:t>
      </w:r>
      <w:r w:rsidRPr="00000592">
        <w:rPr>
          <w:rFonts w:ascii="Calibri" w:hAnsi="Calibri" w:cs="Calibri"/>
          <w:sz w:val="24"/>
          <w:szCs w:val="24"/>
          <w:lang w:val="en-MY"/>
        </w:rPr>
        <w:fldChar w:fldCharType="begin" w:fldLock="1"/>
      </w:r>
      <w:r w:rsidRPr="00000592">
        <w:rPr>
          <w:rFonts w:ascii="Calibri" w:hAnsi="Calibri" w:cs="Calibri"/>
          <w:sz w:val="24"/>
          <w:szCs w:val="24"/>
          <w:lang w:val="en-MY"/>
        </w:rPr>
        <w:instrText>ADDIN CSL_CITATION {"citationItems":[{"id":"ITEM-1","itemData":{"DOI":"10.4197/Islec.31-1.9","ISSN":"16584244","abstract":"Sustainable Awqāf practices and operations of its managing institutions are primarily influenced by the mutawalli's (Awqāf manager's) accountability created in the environment of good governance. The essences of governance, accountability and sustainability are even more central in the Islamic charitable environment like Awqāf as it plays a unique role as a religious and social-based strategic support device to the existing economy. This paper presents empirical evidence on governance disclosure and practices of two separate Malaysian Awqāf institutions with different operational setup (corporatized vs. government platform) by using multiple research techniques comprising interviews and documentation reviews. The findings indicate that essences of governance are observable in both entities. However, huge potential for improvement still remains. Exploiting the different operational setup provides indications of measured responses and indirectly suggests the benefits of running waqf operations on a corporatized platform. The results also provide an appropriate basis for a reality check on the mutawalli's governance disclosure and practices.","author":[{"dropping-particle":"","family":"Awaludin","given":"Nur Suriana","non-dropping-particle":"","parse-names":false,"suffix":""},{"dropping-particle":"","family":"Nahar","given":"Hairul Suhaimi","non-dropping-particle":"","parse-names":false,"suffix":""},{"dropping-particle":"","family":"Yaacob","given":"Hisyam","non-dropping-particle":"","parse-names":false,"suffix":""},{"dropping-particle":"","family":"Bakar","given":"Nor Suhaily","non-dropping-particle":"","parse-names":false,"suffix":""}],"container-title":"Journal of King Abdulaziz University, Islamic Economics","id":"ITEM-1","issue":"1","issued":{"date-parts":[["2018"]]},"page":"139-150","title":"Exploring awqāf governance: Preliminary evidence of governance practices and disclosure of two Malaysian Awqāf institutions","type":"article-journal","volume":"31"},"uris":["http://www.mendeley.com/documents/?uuid=bb398bce-474b-4fbb-b527-628e3aec7d0d"]}],"mendeley":{"formattedCitation":"(Awaludin et al., 2018)","plainTextFormattedCitation":"(Awaludin et al., 2018)","previouslyFormattedCitation":"(Awaludin et al., 2018)"},"properties":{"noteIndex":0},"schema":"https://github.com/citation-style-language/schema/raw/master/csl-citation.json"}</w:instrText>
      </w:r>
      <w:r w:rsidRPr="00000592">
        <w:rPr>
          <w:rFonts w:ascii="Calibri" w:hAnsi="Calibri" w:cs="Calibri"/>
          <w:sz w:val="24"/>
          <w:szCs w:val="24"/>
          <w:lang w:val="en-MY"/>
        </w:rPr>
        <w:fldChar w:fldCharType="separate"/>
      </w:r>
      <w:r w:rsidRPr="00000592">
        <w:rPr>
          <w:rFonts w:ascii="Calibri" w:hAnsi="Calibri" w:cs="Calibri"/>
          <w:noProof/>
          <w:sz w:val="24"/>
          <w:szCs w:val="24"/>
          <w:lang w:val="en-MY"/>
        </w:rPr>
        <w:t>(Awaludin et al., 2018)</w:t>
      </w:r>
      <w:r w:rsidRPr="00000592">
        <w:rPr>
          <w:rFonts w:ascii="Calibri" w:hAnsi="Calibri" w:cs="Calibri"/>
          <w:sz w:val="24"/>
          <w:szCs w:val="24"/>
          <w:lang w:val="en-MY"/>
        </w:rPr>
        <w:fldChar w:fldCharType="end"/>
      </w:r>
      <w:r w:rsidRPr="00000592">
        <w:rPr>
          <w:rFonts w:ascii="Calibri" w:hAnsi="Calibri" w:cs="Calibri"/>
          <w:sz w:val="24"/>
          <w:szCs w:val="24"/>
          <w:lang w:val="en-MY"/>
        </w:rPr>
        <w:t xml:space="preserve">, and the role of waqf in supporting education and community welfare </w:t>
      </w:r>
      <w:r w:rsidRPr="00000592">
        <w:rPr>
          <w:rFonts w:ascii="Calibri" w:hAnsi="Calibri" w:cs="Calibri"/>
          <w:sz w:val="24"/>
          <w:szCs w:val="24"/>
          <w:lang w:val="en-MY"/>
        </w:rPr>
        <w:fldChar w:fldCharType="begin" w:fldLock="1"/>
      </w:r>
      <w:r w:rsidRPr="00000592">
        <w:rPr>
          <w:rFonts w:ascii="Calibri" w:hAnsi="Calibri" w:cs="Calibri"/>
          <w:sz w:val="24"/>
          <w:szCs w:val="24"/>
          <w:lang w:val="en-MY"/>
        </w:rPr>
        <w:instrText>ADDIN CSL_CITATION {"citationItems":[{"id":"ITEM-1","itemData":{"DOI":"10.34109/ijefs.202315304","ISBN":"0000000345","ISSN":"13098055","abstract":"This research endeavour aims to foster collaboration among beneficiaries, donors, and waqf managers (mutawalli) by deeply understanding the prevailing legislative framework. Employing a concept-driven qualitative methodology, we conducted content analysis through a deductive approach. The investigation employed three key attributes, namely \"use more, donate more, and share more,\" to systematically explore the ramifications of established concepts in a broader context. Focus Group Discussions (FGDs) were conducted, and subsequently, the transcribed text from these FGDs underwent meticulous analysis. The study culminates in the proposition that beneficiaries, donors, and mutawalli can synchronize their efforts through the waqf project by: 1) opting for increased utilization when the waqf project offers goods and services either free of charge or at a more affordable rate compared to the prevailing market prices; 2) contributing higher donations through various means such as cash, deductions from salaries, electronic payments, or in-kind contributions; and 3) enhancing information dissemination by utilizing platforms such as social media (WhatsApp, Facebook, YouTube, TikTok, etc.), mass media (television and radio), roadshows, interpersonal communication, and various online channels to propagate the cause. The initiative for synergy examines the applicability of the \"benefidonors\" term within the present context. The findings demonstrate that the concept of Benefidonors can indeed facilitate the collaborative sharing of information, thereby amplifying waqf contributions from beneficiaries, donors, and mutawalli. As a culmination of the study, a refined Benefidonors model is delineated, providing a comprehensive framework for effective collaboration.","author":[{"dropping-particle":"","family":"Johari","given":"Fuadah","non-dropping-particle":"","parse-names":false,"suffix":""},{"dropping-particle":"","family":"Nor","given":"Fauzias Mat","non-dropping-particle":"","parse-names":false,"suffix":""},{"dropping-particle":"","family":"Hamid","given":"Baharom Abdul","non-dropping-particle":"","parse-names":false,"suffix":""},{"dropping-particle":"","family":"Zal","given":"Wan Ahmad Amir","non-dropping-particle":"","parse-names":false,"suffix":""},{"dropping-particle":"","family":"Ali","given":"Ahmad Fahme Mohd","non-dropping-particle":"","parse-names":false,"suffix":""},{"dropping-particle":"","family":"Misbah","given":"Hanim","non-dropping-particle":"","parse-names":false,"suffix":""},{"dropping-particle":"","family":"Haron","given":"Hasnah","non-dropping-particle":"","parse-names":false,"suffix":""},{"dropping-particle":"","family":"Shahwan","given":"Syahidawati","non-dropping-particle":"","parse-names":false,"suffix":""},{"dropping-particle":"","family":"Shafii","given":"Zurina","non-dropping-particle":"","parse-names":false,"suffix":""},{"dropping-particle":"","family":"Shaharuddin","given":"Amir","non-dropping-particle":"","parse-names":false,"suffix":""},{"dropping-particle":"","family":"Ahmad","given":"Azuan","non-dropping-particle":"","parse-names":false,"suffix":""},{"dropping-particle":"","family":"Mahomed","given":"Ziyaad","non-dropping-particle":"","parse-names":false,"suffix":""},{"dropping-particle":"","family":"Salim","given":"Kinan","non-dropping-particle":"","parse-names":false,"suffix":""},{"dropping-particle":"","family":"Yusoff","given":"Muhammad Mohamad","non-dropping-particle":"","parse-names":false,"suffix":""},{"dropping-particle":"","family":"Hassan","given":"Wiaam","non-dropping-particle":"","parse-names":false,"suffix":""},{"dropping-particle":"","family":"Atan","given":"Nur Atika","non-dropping-particle":"","parse-names":false,"suffix":""}],"container-title":"International Journal of Economics and Finance Studies","id":"ITEM-1","issue":"3","issued":{"date-parts":[["2023"]]},"number-of-pages":"76-107","title":"Enhancing Synergy in the Waqf Ecosystem in Malaysia: Promoting Increased Waqf Contributions Among Beneficiaries, Donors, and Mutawalli","type":"book","volume":"15"},"uris":["http://www.mendeley.com/documents/?uuid=7f6d08fd-68d6-46a4-b61c-28023bcf3dbd"]}],"mendeley":{"formattedCitation":"(Johari et al., 2023)","plainTextFormattedCitation":"(Johari et al., 2023)","previouslyFormattedCitation":"(Johari et al., 2023)"},"properties":{"noteIndex":0},"schema":"https://github.com/citation-style-language/schema/raw/master/csl-citation.json"}</w:instrText>
      </w:r>
      <w:r w:rsidRPr="00000592">
        <w:rPr>
          <w:rFonts w:ascii="Calibri" w:hAnsi="Calibri" w:cs="Calibri"/>
          <w:sz w:val="24"/>
          <w:szCs w:val="24"/>
          <w:lang w:val="en-MY"/>
        </w:rPr>
        <w:fldChar w:fldCharType="separate"/>
      </w:r>
      <w:r w:rsidRPr="00000592">
        <w:rPr>
          <w:rFonts w:ascii="Calibri" w:hAnsi="Calibri" w:cs="Calibri"/>
          <w:noProof/>
          <w:sz w:val="24"/>
          <w:szCs w:val="24"/>
          <w:lang w:val="en-MY"/>
        </w:rPr>
        <w:t>(Johari et al., 2023)</w:t>
      </w:r>
      <w:r w:rsidRPr="00000592">
        <w:rPr>
          <w:rFonts w:ascii="Calibri" w:hAnsi="Calibri" w:cs="Calibri"/>
          <w:sz w:val="24"/>
          <w:szCs w:val="24"/>
          <w:lang w:val="en-MY"/>
        </w:rPr>
        <w:fldChar w:fldCharType="end"/>
      </w:r>
      <w:r w:rsidRPr="00000592">
        <w:rPr>
          <w:rFonts w:ascii="Calibri" w:hAnsi="Calibri" w:cs="Calibri"/>
          <w:sz w:val="24"/>
          <w:szCs w:val="24"/>
          <w:lang w:val="en-MY"/>
        </w:rPr>
        <w:t xml:space="preserve"> are featured prominently in the dataset. However, the drop to only one publication in 2024 could reflect an incomplete dataset for the year or a shift in research priorities. It is also evident that the studies are diverse, ranging from cash waqf models to integrated approaches linking waqf with other social finance tools.</w:t>
      </w:r>
    </w:p>
    <w:p w14:paraId="3E83E467" w14:textId="77777777" w:rsidR="00B23396" w:rsidRPr="00000592" w:rsidRDefault="00B23396" w:rsidP="00B23396">
      <w:pPr>
        <w:spacing w:after="0" w:line="240" w:lineRule="auto"/>
        <w:jc w:val="both"/>
        <w:rPr>
          <w:rFonts w:ascii="Calibri" w:hAnsi="Calibri" w:cs="Calibri"/>
          <w:sz w:val="24"/>
          <w:szCs w:val="24"/>
          <w:lang w:val="en-MY"/>
        </w:rPr>
      </w:pPr>
    </w:p>
    <w:p w14:paraId="3979AE9D" w14:textId="77777777" w:rsidR="00B23396" w:rsidRPr="00000592" w:rsidRDefault="00B23396" w:rsidP="00B23396">
      <w:pPr>
        <w:spacing w:after="0" w:line="240" w:lineRule="auto"/>
        <w:jc w:val="center"/>
        <w:rPr>
          <w:rFonts w:ascii="Calibri" w:hAnsi="Calibri" w:cs="Calibri"/>
          <w:sz w:val="24"/>
          <w:szCs w:val="24"/>
          <w:lang w:val="en-MY"/>
        </w:rPr>
      </w:pPr>
      <w:r w:rsidRPr="00000592">
        <w:rPr>
          <w:rFonts w:ascii="Calibri" w:hAnsi="Calibri" w:cs="Calibri"/>
          <w:noProof/>
          <w:sz w:val="24"/>
          <w:szCs w:val="24"/>
        </w:rPr>
        <w:drawing>
          <wp:inline distT="0" distB="0" distL="0" distR="0" wp14:anchorId="4D99E3CA" wp14:editId="23C4A941">
            <wp:extent cx="4404360" cy="2105025"/>
            <wp:effectExtent l="0" t="0" r="15240" b="9525"/>
            <wp:docPr id="2079139655" name="Chart 1">
              <a:extLst xmlns:a="http://schemas.openxmlformats.org/drawingml/2006/main">
                <a:ext uri="{FF2B5EF4-FFF2-40B4-BE49-F238E27FC236}">
                  <a16:creationId xmlns:a16="http://schemas.microsoft.com/office/drawing/2014/main" id="{CB0D241E-FFF2-4B45-9A19-B3E22EDFE4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A87505A" w14:textId="77777777" w:rsidR="00B23396" w:rsidRPr="00B23396" w:rsidRDefault="00B23396" w:rsidP="00B23396">
      <w:pPr>
        <w:pBdr>
          <w:top w:val="nil"/>
          <w:left w:val="nil"/>
          <w:bottom w:val="nil"/>
          <w:right w:val="nil"/>
          <w:between w:val="nil"/>
        </w:pBdr>
        <w:spacing w:after="0" w:line="240" w:lineRule="auto"/>
        <w:rPr>
          <w:rFonts w:ascii="Calibri" w:hAnsi="Calibri" w:cs="Calibri"/>
          <w:iCs/>
          <w:color w:val="000000"/>
          <w:sz w:val="24"/>
          <w:szCs w:val="24"/>
        </w:rPr>
      </w:pPr>
      <w:r w:rsidRPr="00B23396">
        <w:rPr>
          <w:rFonts w:ascii="Calibri" w:hAnsi="Calibri" w:cs="Calibri"/>
          <w:iCs/>
          <w:color w:val="000000"/>
          <w:sz w:val="24"/>
          <w:szCs w:val="24"/>
        </w:rPr>
        <w:t>Figure 3: Paper breakdown according to the year of publication</w:t>
      </w:r>
    </w:p>
    <w:p w14:paraId="5175D330" w14:textId="77777777" w:rsidR="00B23396" w:rsidRDefault="00B23396" w:rsidP="00B23396">
      <w:pPr>
        <w:spacing w:after="0" w:line="240" w:lineRule="auto"/>
        <w:jc w:val="both"/>
        <w:rPr>
          <w:rFonts w:ascii="Calibri" w:hAnsi="Calibri" w:cs="Calibri"/>
          <w:sz w:val="24"/>
          <w:szCs w:val="24"/>
          <w:lang w:val="en-MY"/>
        </w:rPr>
      </w:pPr>
    </w:p>
    <w:p w14:paraId="0C2C8A24" w14:textId="354C76C9" w:rsidR="00B23396" w:rsidRDefault="00B23396" w:rsidP="00B23396">
      <w:pPr>
        <w:spacing w:after="0" w:line="240" w:lineRule="auto"/>
        <w:jc w:val="both"/>
        <w:rPr>
          <w:rFonts w:ascii="Calibri" w:hAnsi="Calibri" w:cs="Calibri"/>
          <w:sz w:val="24"/>
          <w:szCs w:val="24"/>
          <w:lang w:val="en-MY"/>
        </w:rPr>
      </w:pPr>
      <w:r w:rsidRPr="00000592">
        <w:rPr>
          <w:rFonts w:ascii="Calibri" w:hAnsi="Calibri" w:cs="Calibri"/>
          <w:sz w:val="24"/>
          <w:szCs w:val="24"/>
          <w:lang w:val="en-MY"/>
        </w:rPr>
        <w:t xml:space="preserve">This trend points to both opportunities and gaps in the literature. While considerable work is on models and frameworks for sustaining waqf, areas such as using technology in waqf management or its application in addressing modern challenges, like environmental </w:t>
      </w:r>
      <w:r w:rsidRPr="00000592">
        <w:rPr>
          <w:rFonts w:ascii="Calibri" w:hAnsi="Calibri" w:cs="Calibri"/>
          <w:sz w:val="24"/>
          <w:szCs w:val="24"/>
          <w:lang w:val="en-MY"/>
        </w:rPr>
        <w:lastRenderedPageBreak/>
        <w:t>protection</w:t>
      </w:r>
      <w:r w:rsidRPr="00000592">
        <w:rPr>
          <w:rFonts w:ascii="Calibri" w:hAnsi="Calibri" w:cs="Calibri"/>
          <w:sz w:val="24"/>
          <w:szCs w:val="24"/>
          <w:lang w:val="en-MY"/>
        </w:rPr>
        <w:fldChar w:fldCharType="begin" w:fldLock="1"/>
      </w:r>
      <w:r w:rsidRPr="00000592">
        <w:rPr>
          <w:rFonts w:ascii="Calibri" w:hAnsi="Calibri" w:cs="Calibri"/>
          <w:sz w:val="24"/>
          <w:szCs w:val="24"/>
          <w:lang w:val="en-MY"/>
        </w:rPr>
        <w:instrText>ADDIN CSL_CITATION {"citationItems":[{"id":"ITEM-1","itemData":{"DOI":"10.30983/islam_realitas.v7i1.4454","author":[{"dropping-particle":"","family":"Jannah","given":"Miftahul","non-dropping-particle":"","parse-names":false,"suffix":""},{"dropping-particle":"","family":"Ali","given":"Khalifah Muhamad","non-dropping-particle":"","parse-names":false,"suffix":""},{"dropping-particle":"","family":"Fatria","given":"Brigita Laura","non-dropping-particle":"","parse-names":false,"suffix":""},{"dropping-particle":"","family":"Sarkawi","given":"A","non-dropping-particle":"","parse-names":false,"suffix":""},{"dropping-particle":"","family":"Othman","given":"J","non-dropping-particle":"","parse-names":false,"suffix":""}],"container-title":"Islam Realitas: Journal of Islamic and Social Studies","id":"ITEM-1","issued":{"date-parts":[["2021"]]},"title":"Enhancing Waqf Forest Sustainability Through Agroforestry: Case Study from Bogor Waqf Forest, Bogor, Indonesia","type":"article-journal"},"uris":["http://www.mendeley.com/documents/?uuid=b5566ec0-dc48-409a-8ca5-2955a7f625d9"]}],"mendeley":{"formattedCitation":"(Jannah et al., 2021)","plainTextFormattedCitation":"(Jannah et al., 2021)","previouslyFormattedCitation":"(Jannah et al., 2021)"},"properties":{"noteIndex":0},"schema":"https://github.com/citation-style-language/schema/raw/master/csl-citation.json"}</w:instrText>
      </w:r>
      <w:r w:rsidRPr="00000592">
        <w:rPr>
          <w:rFonts w:ascii="Calibri" w:hAnsi="Calibri" w:cs="Calibri"/>
          <w:sz w:val="24"/>
          <w:szCs w:val="24"/>
          <w:lang w:val="en-MY"/>
        </w:rPr>
        <w:fldChar w:fldCharType="separate"/>
      </w:r>
      <w:r w:rsidRPr="00000592">
        <w:rPr>
          <w:rFonts w:ascii="Calibri" w:hAnsi="Calibri" w:cs="Calibri"/>
          <w:noProof/>
          <w:sz w:val="24"/>
          <w:szCs w:val="24"/>
          <w:lang w:val="en-MY"/>
        </w:rPr>
        <w:t>(Jannah et al., 2021)</w:t>
      </w:r>
      <w:r w:rsidRPr="00000592">
        <w:rPr>
          <w:rFonts w:ascii="Calibri" w:hAnsi="Calibri" w:cs="Calibri"/>
          <w:sz w:val="24"/>
          <w:szCs w:val="24"/>
          <w:lang w:val="en-MY"/>
        </w:rPr>
        <w:fldChar w:fldCharType="end"/>
      </w:r>
      <w:r w:rsidRPr="00000592">
        <w:rPr>
          <w:rFonts w:ascii="Calibri" w:hAnsi="Calibri" w:cs="Calibri"/>
          <w:sz w:val="24"/>
          <w:szCs w:val="24"/>
          <w:lang w:val="en-MY"/>
        </w:rPr>
        <w:t>, need to be explored. Additionally, many studies focus on Malaysia and Indonesia, suggesting the need for comparative studies across different regions to gain broader insights. By highlighting these trends and gaps, the thematic review can contribute to shaping the future direction of research in waqf sustainability.</w:t>
      </w:r>
      <w:bookmarkStart w:id="19" w:name="_heading=h.tyjcwt" w:colFirst="0" w:colLast="0"/>
      <w:bookmarkEnd w:id="19"/>
    </w:p>
    <w:p w14:paraId="67BC1796" w14:textId="77777777" w:rsidR="00B23396" w:rsidRPr="00000592" w:rsidRDefault="00B23396" w:rsidP="00B23396">
      <w:pPr>
        <w:spacing w:after="0" w:line="240" w:lineRule="auto"/>
        <w:jc w:val="both"/>
        <w:rPr>
          <w:rFonts w:ascii="Calibri" w:hAnsi="Calibri" w:cs="Calibri"/>
          <w:sz w:val="24"/>
          <w:szCs w:val="24"/>
          <w:lang w:val="en-MY"/>
        </w:rPr>
      </w:pPr>
    </w:p>
    <w:p w14:paraId="23BC3709" w14:textId="77777777" w:rsidR="00B23396" w:rsidRPr="00000592" w:rsidRDefault="00B23396" w:rsidP="00B23396">
      <w:pPr>
        <w:spacing w:after="0" w:line="240" w:lineRule="auto"/>
        <w:jc w:val="both"/>
        <w:rPr>
          <w:rFonts w:ascii="Calibri" w:hAnsi="Calibri" w:cs="Calibri"/>
          <w:sz w:val="24"/>
          <w:szCs w:val="24"/>
        </w:rPr>
      </w:pPr>
      <w:r w:rsidRPr="00000592">
        <w:rPr>
          <w:rFonts w:ascii="Calibri" w:hAnsi="Calibri" w:cs="Calibri"/>
          <w:sz w:val="24"/>
          <w:szCs w:val="24"/>
        </w:rPr>
        <w:t>The researcher subsequently conducts a deeper analysis of the data regarding the number of articles published annually by geographical region. As illustrated in Figure 4, the data presents the number of publications on waqf sustainability based on the country from 2018 to 2024, comprising 34 articles reviewed. Malaysia takes the lead with 18 articles, followed closely by Indonesia with 11. This trend underscores waqf research's significant interest and relevance in Southeast Asia, likely attributable to these nations' strong Islamic cultural and institutional presence. In contrast, countries such as Turkey, Morocco, the Philippines, and Saudi Arabia have minimal representation, contributing only one or two articles each. No studies are recorded from India, Singapore, or other parts of the broader Asian region outside the mentioned countries.</w:t>
      </w:r>
    </w:p>
    <w:p w14:paraId="12DDEB82" w14:textId="77777777" w:rsidR="00B23396" w:rsidRPr="00000592" w:rsidRDefault="00B23396" w:rsidP="00B23396">
      <w:pPr>
        <w:spacing w:after="0" w:line="240" w:lineRule="auto"/>
        <w:jc w:val="center"/>
        <w:rPr>
          <w:rFonts w:ascii="Calibri" w:hAnsi="Calibri" w:cs="Calibri"/>
          <w:sz w:val="24"/>
          <w:szCs w:val="24"/>
          <w:lang w:val="en-MY"/>
        </w:rPr>
      </w:pPr>
      <w:r w:rsidRPr="00000592">
        <w:rPr>
          <w:rFonts w:ascii="Calibri" w:hAnsi="Calibri" w:cs="Calibri"/>
          <w:noProof/>
          <w:sz w:val="24"/>
          <w:szCs w:val="24"/>
        </w:rPr>
        <w:drawing>
          <wp:inline distT="0" distB="0" distL="0" distR="0" wp14:anchorId="4A9DF988" wp14:editId="297AA4DC">
            <wp:extent cx="5747385" cy="2225040"/>
            <wp:effectExtent l="0" t="0" r="5715" b="3810"/>
            <wp:docPr id="1576781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81922" name=""/>
                    <pic:cNvPicPr/>
                  </pic:nvPicPr>
                  <pic:blipFill>
                    <a:blip r:embed="rId11"/>
                    <a:stretch>
                      <a:fillRect/>
                    </a:stretch>
                  </pic:blipFill>
                  <pic:spPr>
                    <a:xfrm>
                      <a:off x="0" y="0"/>
                      <a:ext cx="5836145" cy="2259403"/>
                    </a:xfrm>
                    <a:prstGeom prst="rect">
                      <a:avLst/>
                    </a:prstGeom>
                  </pic:spPr>
                </pic:pic>
              </a:graphicData>
            </a:graphic>
          </wp:inline>
        </w:drawing>
      </w:r>
    </w:p>
    <w:p w14:paraId="5C08227C" w14:textId="77777777" w:rsidR="00B23396" w:rsidRPr="00B23396" w:rsidRDefault="00B23396" w:rsidP="00B23396">
      <w:pPr>
        <w:spacing w:after="0" w:line="240" w:lineRule="auto"/>
        <w:rPr>
          <w:rFonts w:ascii="Calibri" w:hAnsi="Calibri" w:cs="Calibri"/>
          <w:sz w:val="24"/>
          <w:szCs w:val="24"/>
          <w:lang w:val="en-MY"/>
        </w:rPr>
      </w:pPr>
      <w:r w:rsidRPr="00B23396">
        <w:rPr>
          <w:rFonts w:ascii="Calibri" w:hAnsi="Calibri" w:cs="Calibri"/>
          <w:sz w:val="24"/>
          <w:szCs w:val="24"/>
          <w:lang w:val="en-MY"/>
        </w:rPr>
        <w:t xml:space="preserve">Figure 4: </w:t>
      </w:r>
      <w:r w:rsidRPr="00B23396">
        <w:rPr>
          <w:rFonts w:ascii="Calibri" w:hAnsi="Calibri" w:cs="Calibri"/>
          <w:sz w:val="24"/>
          <w:szCs w:val="24"/>
        </w:rPr>
        <w:t>The Number of Articles Published Annually by Geographical Region</w:t>
      </w:r>
      <w:r w:rsidRPr="00B23396">
        <w:rPr>
          <w:rFonts w:ascii="Calibri" w:hAnsi="Calibri" w:cs="Calibri"/>
          <w:sz w:val="24"/>
          <w:szCs w:val="24"/>
          <w:lang w:val="en-MY"/>
        </w:rPr>
        <w:t xml:space="preserve"> </w:t>
      </w:r>
    </w:p>
    <w:p w14:paraId="2EE1F81C" w14:textId="77777777" w:rsidR="00B23396" w:rsidRDefault="00B23396" w:rsidP="00B23396">
      <w:pPr>
        <w:spacing w:after="0" w:line="240" w:lineRule="auto"/>
        <w:jc w:val="both"/>
        <w:rPr>
          <w:rFonts w:ascii="Calibri" w:hAnsi="Calibri" w:cs="Calibri"/>
          <w:sz w:val="24"/>
          <w:szCs w:val="24"/>
          <w:lang w:val="en-MY"/>
        </w:rPr>
      </w:pPr>
    </w:p>
    <w:p w14:paraId="66A096D7" w14:textId="35E1B4CD" w:rsidR="00B23396" w:rsidRDefault="00B23396" w:rsidP="00B23396">
      <w:pPr>
        <w:spacing w:after="0" w:line="240" w:lineRule="auto"/>
        <w:jc w:val="both"/>
        <w:rPr>
          <w:rFonts w:ascii="Calibri" w:hAnsi="Calibri" w:cs="Calibri"/>
          <w:sz w:val="24"/>
          <w:szCs w:val="24"/>
          <w:lang w:val="en-MY"/>
        </w:rPr>
      </w:pPr>
      <w:r w:rsidRPr="00000592">
        <w:rPr>
          <w:rFonts w:ascii="Calibri" w:hAnsi="Calibri" w:cs="Calibri"/>
          <w:sz w:val="24"/>
          <w:szCs w:val="24"/>
          <w:lang w:val="en-MY"/>
        </w:rPr>
        <w:t>The world map visualisation in Figure 5 offers valuable insights into the geographical distribution of studies on waqf sustainability. It clearly illustrates that most contributions originate from the Asian region, particularly Malaysia and Indonesia, with 18 and 12 articles, respectively. Over the years, publications have fluctuated, with notable peaks in 2020 and 2023, each producing eight articles. These peaks reflect a renewed interest in waqf sustainability, likely driven by emerging challenges in governance and economic development, as well as the pressing need for innovative strategies to address these issues.</w:t>
      </w:r>
    </w:p>
    <w:p w14:paraId="44C602EF" w14:textId="77777777" w:rsidR="00B23396" w:rsidRPr="00000592" w:rsidRDefault="00B23396" w:rsidP="00B23396">
      <w:pPr>
        <w:spacing w:after="0" w:line="240" w:lineRule="auto"/>
        <w:jc w:val="both"/>
        <w:rPr>
          <w:rFonts w:ascii="Calibri" w:hAnsi="Calibri" w:cs="Calibri"/>
          <w:sz w:val="24"/>
          <w:szCs w:val="24"/>
          <w:lang w:val="en-MY"/>
        </w:rPr>
      </w:pPr>
    </w:p>
    <w:p w14:paraId="39C7B449" w14:textId="77777777" w:rsidR="00B23396" w:rsidRPr="00000592" w:rsidRDefault="00B23396" w:rsidP="00B23396">
      <w:pPr>
        <w:spacing w:after="0" w:line="240" w:lineRule="auto"/>
        <w:jc w:val="both"/>
        <w:rPr>
          <w:rFonts w:ascii="Calibri" w:hAnsi="Calibri" w:cs="Calibri"/>
          <w:sz w:val="24"/>
          <w:szCs w:val="24"/>
        </w:rPr>
      </w:pPr>
      <w:r w:rsidRPr="00000592">
        <w:rPr>
          <w:rFonts w:ascii="Calibri" w:hAnsi="Calibri" w:cs="Calibri"/>
          <w:sz w:val="24"/>
          <w:szCs w:val="24"/>
          <w:lang w:val="en-MY"/>
        </w:rPr>
        <w:t xml:space="preserve">The trend also reveals a decline in publications from 2018 to 2021 before rebounding strongly in 2023. Notably, the map underscores a pressing need for greater geographical diversity in waqf-related research </w:t>
      </w:r>
      <w:r w:rsidRPr="00000592">
        <w:rPr>
          <w:rFonts w:ascii="Calibri" w:hAnsi="Calibri" w:cs="Calibri"/>
          <w:sz w:val="24"/>
          <w:szCs w:val="24"/>
        </w:rPr>
        <w:t>Importantly. Expanding research efforts to underrepresented regions could provide a broader, more inclusive perspective on the global challenges and opportunities for waqf sustainability. The consistency of output from Malaysia and Indonesia, however, highlights their critical role in driving this discourse and offers valuable models for other countries to consider.</w:t>
      </w:r>
    </w:p>
    <w:p w14:paraId="600D75EE" w14:textId="77777777" w:rsidR="00B23396" w:rsidRDefault="00B23396" w:rsidP="00B23396">
      <w:pPr>
        <w:spacing w:after="0" w:line="240" w:lineRule="auto"/>
        <w:rPr>
          <w:rFonts w:ascii="Calibri" w:hAnsi="Calibri" w:cs="Calibri"/>
          <w:i/>
          <w:iCs/>
          <w:sz w:val="24"/>
          <w:szCs w:val="24"/>
          <w:lang w:val="en-MY"/>
        </w:rPr>
      </w:pPr>
    </w:p>
    <w:p w14:paraId="582A7FA3" w14:textId="77777777" w:rsidR="00B23396" w:rsidRDefault="00B23396" w:rsidP="00B23396">
      <w:pPr>
        <w:spacing w:after="0" w:line="240" w:lineRule="auto"/>
        <w:rPr>
          <w:rFonts w:ascii="Calibri" w:hAnsi="Calibri" w:cs="Calibri"/>
          <w:i/>
          <w:iCs/>
          <w:sz w:val="24"/>
          <w:szCs w:val="24"/>
          <w:lang w:val="en-MY"/>
        </w:rPr>
      </w:pPr>
    </w:p>
    <w:p w14:paraId="5DC54468" w14:textId="77777777" w:rsidR="00B23396" w:rsidRDefault="00B23396" w:rsidP="00B23396">
      <w:pPr>
        <w:spacing w:after="0" w:line="240" w:lineRule="auto"/>
        <w:rPr>
          <w:rFonts w:ascii="Calibri" w:hAnsi="Calibri" w:cs="Calibri"/>
          <w:i/>
          <w:iCs/>
          <w:sz w:val="24"/>
          <w:szCs w:val="24"/>
          <w:lang w:val="en-MY"/>
        </w:rPr>
      </w:pPr>
    </w:p>
    <w:p w14:paraId="13BED8DB" w14:textId="77777777" w:rsidR="00B23396" w:rsidRPr="00000592" w:rsidRDefault="00B23396" w:rsidP="00B23396">
      <w:pPr>
        <w:spacing w:after="0" w:line="240" w:lineRule="auto"/>
        <w:jc w:val="both"/>
        <w:rPr>
          <w:rFonts w:ascii="Calibri" w:hAnsi="Calibri" w:cs="Calibri"/>
          <w:sz w:val="24"/>
          <w:szCs w:val="24"/>
        </w:rPr>
      </w:pPr>
      <w:r w:rsidRPr="00000592">
        <w:rPr>
          <w:rFonts w:ascii="Calibri" w:hAnsi="Calibri" w:cs="Calibri"/>
          <w:noProof/>
          <w:sz w:val="24"/>
          <w:szCs w:val="24"/>
        </w:rPr>
        <w:lastRenderedPageBreak/>
        <w:drawing>
          <wp:inline distT="0" distB="0" distL="0" distR="0" wp14:anchorId="61134637" wp14:editId="3B7991F5">
            <wp:extent cx="5682615" cy="1805940"/>
            <wp:effectExtent l="0" t="0" r="0" b="3810"/>
            <wp:docPr id="90059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96304" name=""/>
                    <pic:cNvPicPr/>
                  </pic:nvPicPr>
                  <pic:blipFill>
                    <a:blip r:embed="rId12"/>
                    <a:stretch>
                      <a:fillRect/>
                    </a:stretch>
                  </pic:blipFill>
                  <pic:spPr>
                    <a:xfrm>
                      <a:off x="0" y="0"/>
                      <a:ext cx="5735274" cy="1822675"/>
                    </a:xfrm>
                    <a:prstGeom prst="rect">
                      <a:avLst/>
                    </a:prstGeom>
                  </pic:spPr>
                </pic:pic>
              </a:graphicData>
            </a:graphic>
          </wp:inline>
        </w:drawing>
      </w:r>
    </w:p>
    <w:p w14:paraId="6E258730" w14:textId="77777777" w:rsidR="00B23396" w:rsidRPr="00B23396" w:rsidRDefault="00B23396" w:rsidP="00B23396">
      <w:pPr>
        <w:spacing w:after="0" w:line="240" w:lineRule="auto"/>
        <w:rPr>
          <w:rFonts w:ascii="Calibri" w:hAnsi="Calibri" w:cs="Calibri"/>
          <w:sz w:val="24"/>
          <w:szCs w:val="24"/>
        </w:rPr>
      </w:pPr>
      <w:r w:rsidRPr="00B23396">
        <w:rPr>
          <w:rFonts w:ascii="Calibri" w:hAnsi="Calibri" w:cs="Calibri"/>
          <w:sz w:val="24"/>
          <w:szCs w:val="24"/>
          <w:lang w:val="en-MY"/>
        </w:rPr>
        <w:t>Figure 5: World Map Visualisation on Article in Waqf and Sustainability</w:t>
      </w:r>
    </w:p>
    <w:p w14:paraId="2EC6BCE1" w14:textId="77777777" w:rsidR="00B23396" w:rsidRDefault="00B23396" w:rsidP="00B23396">
      <w:pPr>
        <w:spacing w:after="0" w:line="240" w:lineRule="auto"/>
        <w:jc w:val="both"/>
        <w:rPr>
          <w:rFonts w:ascii="Calibri" w:hAnsi="Calibri" w:cs="Calibri"/>
          <w:sz w:val="24"/>
          <w:szCs w:val="24"/>
        </w:rPr>
      </w:pPr>
    </w:p>
    <w:p w14:paraId="1B920DAC" w14:textId="73DE35E6" w:rsidR="00B23396" w:rsidRDefault="00B23396" w:rsidP="00B23396">
      <w:pPr>
        <w:spacing w:after="0" w:line="240" w:lineRule="auto"/>
        <w:jc w:val="both"/>
        <w:rPr>
          <w:rFonts w:ascii="Calibri" w:hAnsi="Calibri" w:cs="Calibri"/>
          <w:sz w:val="24"/>
          <w:szCs w:val="24"/>
          <w:lang w:val="en-MY"/>
        </w:rPr>
      </w:pPr>
      <w:r w:rsidRPr="00000592">
        <w:rPr>
          <w:rFonts w:ascii="Calibri" w:hAnsi="Calibri" w:cs="Calibri"/>
          <w:sz w:val="24"/>
          <w:szCs w:val="24"/>
        </w:rPr>
        <w:t xml:space="preserve">Furthermore, the data analysis also shows the word cloud generated from the 34 articles related in Figure 6 below. </w:t>
      </w:r>
      <w:r w:rsidRPr="00000592">
        <w:rPr>
          <w:rFonts w:ascii="Calibri" w:hAnsi="Calibri" w:cs="Calibri"/>
          <w:sz w:val="24"/>
          <w:szCs w:val="24"/>
          <w:lang w:val="en-MY"/>
        </w:rPr>
        <w:t>The word cloud generated from 34 articles on waqf sustainability provides a compelling snapshot of the key themes and concepts frequently discussed in the literature. The prominence of "waqf" at the centre underscores its centrality to all discussions, followed by other significant terms like "management," "social," "Islamic," "financial," and "development." These words highlight the multifaceted nature of waqf, which spans religious, economic, and social domains. Terms such as "institutions," "model," and "sustainability" further suggest that much of the research revolves around exploring frameworks and mechanisms to enhance the effectiveness and longevity of waqf practices in addressing societal needs.</w:t>
      </w:r>
    </w:p>
    <w:p w14:paraId="592859CE" w14:textId="77777777" w:rsidR="00B23396" w:rsidRPr="00000592" w:rsidRDefault="00B23396" w:rsidP="00B23396">
      <w:pPr>
        <w:spacing w:after="0" w:line="240" w:lineRule="auto"/>
        <w:jc w:val="both"/>
        <w:rPr>
          <w:rFonts w:ascii="Calibri" w:hAnsi="Calibri" w:cs="Calibri"/>
          <w:sz w:val="24"/>
          <w:szCs w:val="24"/>
          <w:lang w:val="en-MY"/>
        </w:rPr>
      </w:pPr>
    </w:p>
    <w:p w14:paraId="4D23373B" w14:textId="77777777" w:rsidR="00B23396" w:rsidRPr="00000592" w:rsidRDefault="00B23396" w:rsidP="00B23396">
      <w:pPr>
        <w:spacing w:after="0" w:line="240" w:lineRule="auto"/>
        <w:jc w:val="both"/>
        <w:rPr>
          <w:rFonts w:ascii="Calibri" w:hAnsi="Calibri" w:cs="Calibri"/>
          <w:sz w:val="24"/>
          <w:szCs w:val="24"/>
          <w:lang w:val="en-MY"/>
        </w:rPr>
      </w:pPr>
      <w:r w:rsidRPr="00000592">
        <w:rPr>
          <w:rFonts w:ascii="Calibri" w:hAnsi="Calibri" w:cs="Calibri"/>
          <w:sz w:val="24"/>
          <w:szCs w:val="24"/>
          <w:lang w:val="en-MY"/>
        </w:rPr>
        <w:t>Interestingly, the word cloud reflects waqf sustainability's specific challenges and opportunities. Words like "governance," "resources," "human," and "accountability" indicate that improving institutional and managerial practices is a recurring focus. Meanwhile, terms such as "micro," "corporate," and "financing" suggest an emerging interest in integrating waqf with modern financial tools and entrepreneurial initiatives. Including geographical references like "Malaysia" and "Indonesia" reaffirms these nations' leading roles in waqf-related research. This visualisation underscores the need for a holistic approach that combines robust management, innovative financing models, and governance reforms to sustain waqf's impact on socio-economic development.</w:t>
      </w:r>
    </w:p>
    <w:p w14:paraId="444EC1CA" w14:textId="77777777" w:rsidR="00B23396" w:rsidRPr="00000592" w:rsidRDefault="00B23396" w:rsidP="00B23396">
      <w:pPr>
        <w:spacing w:after="0" w:line="240" w:lineRule="auto"/>
        <w:jc w:val="both"/>
        <w:rPr>
          <w:rFonts w:ascii="Calibri" w:hAnsi="Calibri" w:cs="Calibri"/>
          <w:sz w:val="24"/>
          <w:szCs w:val="24"/>
        </w:rPr>
      </w:pPr>
      <w:r w:rsidRPr="00000592">
        <w:rPr>
          <w:rFonts w:ascii="Calibri" w:hAnsi="Calibri" w:cs="Calibri"/>
          <w:noProof/>
          <w:sz w:val="24"/>
          <w:szCs w:val="24"/>
        </w:rPr>
        <w:lastRenderedPageBreak/>
        <w:drawing>
          <wp:inline distT="0" distB="0" distL="0" distR="0" wp14:anchorId="41E14603" wp14:editId="7A47AB0A">
            <wp:extent cx="5730875" cy="2962275"/>
            <wp:effectExtent l="0" t="0" r="3175" b="9525"/>
            <wp:docPr id="962138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38806" name=""/>
                    <pic:cNvPicPr/>
                  </pic:nvPicPr>
                  <pic:blipFill>
                    <a:blip r:embed="rId13"/>
                    <a:stretch>
                      <a:fillRect/>
                    </a:stretch>
                  </pic:blipFill>
                  <pic:spPr>
                    <a:xfrm>
                      <a:off x="0" y="0"/>
                      <a:ext cx="5743375" cy="2968736"/>
                    </a:xfrm>
                    <a:prstGeom prst="rect">
                      <a:avLst/>
                    </a:prstGeom>
                  </pic:spPr>
                </pic:pic>
              </a:graphicData>
            </a:graphic>
          </wp:inline>
        </w:drawing>
      </w:r>
    </w:p>
    <w:p w14:paraId="2CE6AB5F" w14:textId="77777777" w:rsidR="00B23396" w:rsidRPr="00B23396" w:rsidRDefault="00B23396" w:rsidP="00B23396">
      <w:pPr>
        <w:pBdr>
          <w:top w:val="nil"/>
          <w:left w:val="nil"/>
          <w:bottom w:val="nil"/>
          <w:right w:val="nil"/>
          <w:between w:val="nil"/>
        </w:pBdr>
        <w:spacing w:after="0" w:line="240" w:lineRule="auto"/>
        <w:rPr>
          <w:rFonts w:ascii="Calibri" w:hAnsi="Calibri" w:cs="Calibri"/>
          <w:iCs/>
          <w:sz w:val="24"/>
          <w:szCs w:val="24"/>
        </w:rPr>
      </w:pPr>
      <w:r w:rsidRPr="00B23396">
        <w:rPr>
          <w:rFonts w:ascii="Calibri" w:hAnsi="Calibri" w:cs="Calibri"/>
          <w:iCs/>
          <w:sz w:val="24"/>
          <w:szCs w:val="24"/>
        </w:rPr>
        <w:t>Figure 6: Word cloud generated from 34 articles</w:t>
      </w:r>
    </w:p>
    <w:p w14:paraId="0FE059EE" w14:textId="77777777" w:rsidR="00B23396" w:rsidRDefault="00B23396" w:rsidP="00B23396">
      <w:pPr>
        <w:spacing w:after="0" w:line="240" w:lineRule="auto"/>
        <w:jc w:val="both"/>
        <w:rPr>
          <w:rFonts w:ascii="Calibri" w:hAnsi="Calibri" w:cs="Calibri"/>
          <w:sz w:val="24"/>
          <w:szCs w:val="24"/>
          <w:lang w:val="en-MY"/>
        </w:rPr>
      </w:pPr>
    </w:p>
    <w:p w14:paraId="1C6D45F7" w14:textId="32A21A86" w:rsidR="00B23396" w:rsidRDefault="00B23396" w:rsidP="00B23396">
      <w:pPr>
        <w:spacing w:after="0" w:line="240" w:lineRule="auto"/>
        <w:jc w:val="both"/>
        <w:rPr>
          <w:rFonts w:ascii="Calibri" w:hAnsi="Calibri" w:cs="Calibri"/>
          <w:sz w:val="24"/>
          <w:szCs w:val="24"/>
          <w:lang w:val="en-MY"/>
        </w:rPr>
      </w:pPr>
      <w:r w:rsidRPr="00000592">
        <w:rPr>
          <w:rFonts w:ascii="Calibri" w:hAnsi="Calibri" w:cs="Calibri"/>
          <w:sz w:val="24"/>
          <w:szCs w:val="24"/>
          <w:lang w:val="en-MY"/>
        </w:rPr>
        <w:t xml:space="preserve">Following the above discussion, the researcher further analysed the data based on the 34 articles in Table 2 on Author vs. theme. This comprehensively categorises research articles focusing on different aspects of waqf and sustainability. There are five (5) major themes. Relating to waqf and sustainability. The themes highlight researchers' diverse approaches and topics, from Financial Sustainability and Economic Development, Community Empowerment and Social Welfare, Innovative Waqf Models and Practices, Environmental Sustainability and Waqf and Governance and Legal. The thematic analysis of waqf-related studies reveals a diverse yet interconnected exploration of sustainability challenges and opportunities. The data shows that Theme 1, Financial Sustainability and Economic Development, is the most frequently addressed, with authors such as Nik Ahmad et al. (2019), Bayram &amp; </w:t>
      </w:r>
      <w:proofErr w:type="spellStart"/>
      <w:r w:rsidRPr="00000592">
        <w:rPr>
          <w:rFonts w:ascii="Calibri" w:hAnsi="Calibri" w:cs="Calibri"/>
          <w:sz w:val="24"/>
          <w:szCs w:val="24"/>
          <w:lang w:val="en-MY"/>
        </w:rPr>
        <w:t>Altarturi</w:t>
      </w:r>
      <w:proofErr w:type="spellEnd"/>
      <w:r w:rsidRPr="00000592">
        <w:rPr>
          <w:rFonts w:ascii="Calibri" w:hAnsi="Calibri" w:cs="Calibri"/>
          <w:sz w:val="24"/>
          <w:szCs w:val="24"/>
          <w:lang w:val="en-MY"/>
        </w:rPr>
        <w:t xml:space="preserve"> (2020), and Bulut (2020) contributing to this area. Their works emphasise waqf’s potential as a tool for economic resilience, focusing on financial models, innovative fundraising strategies, and cash waqf initiatives. This theme’s prominence reflects the pressing need for waqf institutions to ensure steady financial resources to maintain their impact on communities. Additionally, Theme 3: Innovative Waqf Models and Practices has gained significant attention, with authors like </w:t>
      </w:r>
      <w:proofErr w:type="spellStart"/>
      <w:r w:rsidRPr="00000592">
        <w:rPr>
          <w:rFonts w:ascii="Calibri" w:hAnsi="Calibri" w:cs="Calibri"/>
          <w:sz w:val="24"/>
          <w:szCs w:val="24"/>
          <w:lang w:val="en-MY"/>
        </w:rPr>
        <w:t>Sapuan</w:t>
      </w:r>
      <w:proofErr w:type="spellEnd"/>
      <w:r w:rsidRPr="00000592">
        <w:rPr>
          <w:rFonts w:ascii="Calibri" w:hAnsi="Calibri" w:cs="Calibri"/>
          <w:sz w:val="24"/>
          <w:szCs w:val="24"/>
          <w:lang w:val="en-MY"/>
        </w:rPr>
        <w:t xml:space="preserve"> &amp; Zeni (2021) and Jannah et al. (2020) examining novel frameworks to optimise waqf operations, from advanced management practices to integrated waqf models. These studies highlight how modern tools and practices can help waqf adapt to changing social and economic landscapes.</w:t>
      </w:r>
    </w:p>
    <w:p w14:paraId="185A745B" w14:textId="77777777" w:rsidR="00B23396" w:rsidRPr="00000592" w:rsidRDefault="00B23396" w:rsidP="00B23396">
      <w:pPr>
        <w:spacing w:after="0" w:line="240" w:lineRule="auto"/>
        <w:jc w:val="both"/>
        <w:rPr>
          <w:rFonts w:ascii="Calibri" w:hAnsi="Calibri" w:cs="Calibri"/>
          <w:sz w:val="24"/>
          <w:szCs w:val="24"/>
          <w:lang w:val="en-MY"/>
        </w:rPr>
      </w:pPr>
    </w:p>
    <w:p w14:paraId="2721D791" w14:textId="77777777" w:rsidR="00B23396" w:rsidRPr="00000592" w:rsidRDefault="00B23396" w:rsidP="00B23396">
      <w:pPr>
        <w:spacing w:after="0" w:line="240" w:lineRule="auto"/>
        <w:jc w:val="both"/>
        <w:rPr>
          <w:rFonts w:ascii="Calibri" w:hAnsi="Calibri" w:cs="Calibri"/>
          <w:sz w:val="24"/>
          <w:szCs w:val="24"/>
          <w:lang w:val="en-MY"/>
        </w:rPr>
      </w:pPr>
      <w:r w:rsidRPr="00000592">
        <w:rPr>
          <w:rFonts w:ascii="Calibri" w:hAnsi="Calibri" w:cs="Calibri"/>
          <w:sz w:val="24"/>
          <w:szCs w:val="24"/>
          <w:lang w:val="en-MY"/>
        </w:rPr>
        <w:t xml:space="preserve">On the other hand, Theme 2: Community Empowerment and Social Welfare also features prominently, with contributors like Mohamad Akhir et al. (2023) and </w:t>
      </w:r>
      <w:proofErr w:type="spellStart"/>
      <w:r w:rsidRPr="00000592">
        <w:rPr>
          <w:rFonts w:ascii="Calibri" w:hAnsi="Calibri" w:cs="Calibri"/>
          <w:sz w:val="24"/>
          <w:szCs w:val="24"/>
          <w:lang w:val="en-MY"/>
        </w:rPr>
        <w:t>Widiastuti</w:t>
      </w:r>
      <w:proofErr w:type="spellEnd"/>
      <w:r w:rsidRPr="00000592">
        <w:rPr>
          <w:rFonts w:ascii="Calibri" w:hAnsi="Calibri" w:cs="Calibri"/>
          <w:sz w:val="24"/>
          <w:szCs w:val="24"/>
          <w:lang w:val="en-MY"/>
        </w:rPr>
        <w:t xml:space="preserve"> et al. (2022) delving into how waqf initiatives can uplift communities through education, entrepreneurship, and welfare programs. This emphasis on empowerment illustrates waqf’s critical role in fostering social equity. Meanwhile, Theme 4: Environmental Sustainability and Waqf and Theme 5: Governance and Legal Framework are less represented but crucial. Authors like Jannah et al. (2024) and Huda and Santoso (2022) explore waqf’s potential in supporting green initiatives and addressing governance challenges, suggesting untapped opportunities for advancing sustainability through improved legal and institutional </w:t>
      </w:r>
      <w:r w:rsidRPr="00000592">
        <w:rPr>
          <w:rFonts w:ascii="Calibri" w:hAnsi="Calibri" w:cs="Calibri"/>
          <w:sz w:val="24"/>
          <w:szCs w:val="24"/>
          <w:lang w:val="en-MY"/>
        </w:rPr>
        <w:lastRenderedPageBreak/>
        <w:t>mechanisms. Together, these themes provide a comprehensive roadmap for enhancing waqf’s sustainability, demonstrating its multifaceted potential to drive positive change in a financial, social, and environmental context.</w:t>
      </w:r>
    </w:p>
    <w:p w14:paraId="5335FC5E" w14:textId="77777777" w:rsidR="00B23396" w:rsidRDefault="00B23396" w:rsidP="00B23396">
      <w:pPr>
        <w:pStyle w:val="Caption"/>
        <w:spacing w:after="0" w:line="240" w:lineRule="auto"/>
        <w:rPr>
          <w:rFonts w:ascii="Calibri" w:hAnsi="Calibri" w:cs="Calibri"/>
          <w:sz w:val="24"/>
          <w:szCs w:val="24"/>
        </w:rPr>
      </w:pPr>
    </w:p>
    <w:p w14:paraId="7AE523C7" w14:textId="77777777" w:rsidR="00B23396" w:rsidRPr="00B23396" w:rsidRDefault="00B23396" w:rsidP="00B23396">
      <w:pPr>
        <w:pStyle w:val="Caption"/>
        <w:spacing w:after="0" w:line="240" w:lineRule="auto"/>
        <w:rPr>
          <w:rFonts w:ascii="Calibri" w:hAnsi="Calibri" w:cs="Calibri"/>
          <w:b w:val="0"/>
          <w:bCs w:val="0"/>
          <w:sz w:val="24"/>
          <w:szCs w:val="24"/>
        </w:rPr>
      </w:pPr>
      <w:r w:rsidRPr="00B23396">
        <w:rPr>
          <w:rFonts w:ascii="Calibri" w:hAnsi="Calibri" w:cs="Calibri"/>
          <w:b w:val="0"/>
          <w:bCs w:val="0"/>
          <w:sz w:val="24"/>
          <w:szCs w:val="24"/>
        </w:rPr>
        <w:t>Table 2</w:t>
      </w:r>
    </w:p>
    <w:p w14:paraId="5857B06A" w14:textId="04E5B1DD" w:rsidR="00B23396" w:rsidRPr="00B23396" w:rsidRDefault="00B23396" w:rsidP="00B23396">
      <w:pPr>
        <w:pStyle w:val="Caption"/>
        <w:spacing w:after="0" w:line="240" w:lineRule="auto"/>
        <w:rPr>
          <w:rFonts w:ascii="Calibri" w:hAnsi="Calibri" w:cs="Calibri"/>
          <w:b w:val="0"/>
          <w:bCs w:val="0"/>
          <w:i/>
          <w:iCs/>
          <w:sz w:val="24"/>
          <w:szCs w:val="24"/>
        </w:rPr>
      </w:pPr>
      <w:r w:rsidRPr="00B23396">
        <w:rPr>
          <w:rFonts w:ascii="Calibri" w:hAnsi="Calibri" w:cs="Calibri"/>
          <w:b w:val="0"/>
          <w:bCs w:val="0"/>
          <w:i/>
          <w:iCs/>
          <w:sz w:val="24"/>
          <w:szCs w:val="24"/>
        </w:rPr>
        <w:t>Author vs theme</w:t>
      </w:r>
    </w:p>
    <w:tbl>
      <w:tblPr>
        <w:tblStyle w:val="PlainTable1"/>
        <w:tblW w:w="5000" w:type="pct"/>
        <w:tblLook w:val="04A0" w:firstRow="1" w:lastRow="0" w:firstColumn="1" w:lastColumn="0" w:noHBand="0" w:noVBand="1"/>
      </w:tblPr>
      <w:tblGrid>
        <w:gridCol w:w="1795"/>
        <w:gridCol w:w="1455"/>
        <w:gridCol w:w="1576"/>
        <w:gridCol w:w="1317"/>
        <w:gridCol w:w="1561"/>
        <w:gridCol w:w="1316"/>
      </w:tblGrid>
      <w:tr w:rsidR="00B23396" w:rsidRPr="00B23396" w14:paraId="13076A50" w14:textId="77777777" w:rsidTr="00B23396">
        <w:trPr>
          <w:cnfStyle w:val="100000000000" w:firstRow="1" w:lastRow="0" w:firstColumn="0" w:lastColumn="0" w:oddVBand="0" w:evenVBand="0" w:oddHBand="0"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983" w:type="pct"/>
            <w:noWrap/>
            <w:hideMark/>
          </w:tcPr>
          <w:p w14:paraId="3717AB13" w14:textId="77777777" w:rsidR="00B23396" w:rsidRPr="00B23396" w:rsidRDefault="00B23396" w:rsidP="005B49F1">
            <w:pPr>
              <w:spacing w:after="0" w:line="240" w:lineRule="auto"/>
              <w:jc w:val="center"/>
              <w:rPr>
                <w:rFonts w:ascii="Calibri" w:hAnsi="Calibri" w:cs="Calibri"/>
              </w:rPr>
            </w:pPr>
          </w:p>
        </w:tc>
        <w:tc>
          <w:tcPr>
            <w:tcW w:w="796" w:type="pct"/>
            <w:hideMark/>
          </w:tcPr>
          <w:p w14:paraId="220AC634" w14:textId="77777777" w:rsidR="00B23396" w:rsidRPr="00B23396" w:rsidRDefault="00B23396" w:rsidP="005B49F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B23396">
              <w:rPr>
                <w:rFonts w:ascii="Calibri" w:hAnsi="Calibri" w:cs="Calibri"/>
              </w:rPr>
              <w:t>Theme 1:  Financial Sustainability and Economic Development</w:t>
            </w:r>
            <w:r w:rsidRPr="00B23396">
              <w:rPr>
                <w:rFonts w:ascii="Calibri" w:hAnsi="Calibri" w:cs="Calibri"/>
              </w:rPr>
              <w:br/>
            </w:r>
          </w:p>
        </w:tc>
        <w:tc>
          <w:tcPr>
            <w:tcW w:w="863" w:type="pct"/>
            <w:hideMark/>
          </w:tcPr>
          <w:p w14:paraId="12628B9D" w14:textId="77777777" w:rsidR="00B23396" w:rsidRPr="00B23396" w:rsidRDefault="00B23396" w:rsidP="005B49F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B23396">
              <w:rPr>
                <w:rFonts w:ascii="Calibri" w:hAnsi="Calibri" w:cs="Calibri"/>
              </w:rPr>
              <w:t>Theme 2: Community Empowerment and Social Welfare</w:t>
            </w:r>
            <w:r w:rsidRPr="00B23396">
              <w:rPr>
                <w:rFonts w:ascii="Calibri" w:hAnsi="Calibri" w:cs="Calibri"/>
              </w:rPr>
              <w:br/>
            </w:r>
          </w:p>
        </w:tc>
        <w:tc>
          <w:tcPr>
            <w:tcW w:w="786" w:type="pct"/>
            <w:hideMark/>
          </w:tcPr>
          <w:p w14:paraId="6992CDE4" w14:textId="77777777" w:rsidR="00B23396" w:rsidRPr="00B23396" w:rsidRDefault="00B23396" w:rsidP="005B49F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B23396">
              <w:rPr>
                <w:rFonts w:ascii="Calibri" w:hAnsi="Calibri" w:cs="Calibri"/>
              </w:rPr>
              <w:t>Theme 3: Innovative Waqf Models and Practices</w:t>
            </w:r>
            <w:r w:rsidRPr="00B23396">
              <w:rPr>
                <w:rFonts w:ascii="Calibri" w:hAnsi="Calibri" w:cs="Calibri"/>
              </w:rPr>
              <w:br/>
            </w:r>
          </w:p>
        </w:tc>
        <w:tc>
          <w:tcPr>
            <w:tcW w:w="854" w:type="pct"/>
            <w:hideMark/>
          </w:tcPr>
          <w:p w14:paraId="3FF18516" w14:textId="77777777" w:rsidR="00B23396" w:rsidRPr="00B23396" w:rsidRDefault="00B23396" w:rsidP="005B49F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B23396">
              <w:rPr>
                <w:rFonts w:ascii="Calibri" w:hAnsi="Calibri" w:cs="Calibri"/>
              </w:rPr>
              <w:t>Theme 4: Environmental Sustainability and Waqf</w:t>
            </w:r>
            <w:r w:rsidRPr="00B23396">
              <w:rPr>
                <w:rFonts w:ascii="Calibri" w:hAnsi="Calibri" w:cs="Calibri"/>
              </w:rPr>
              <w:br/>
            </w:r>
          </w:p>
        </w:tc>
        <w:tc>
          <w:tcPr>
            <w:tcW w:w="719" w:type="pct"/>
            <w:hideMark/>
          </w:tcPr>
          <w:p w14:paraId="2F8B6DFE" w14:textId="77777777" w:rsidR="00B23396" w:rsidRPr="00B23396" w:rsidRDefault="00B23396" w:rsidP="005B49F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B23396">
              <w:rPr>
                <w:rFonts w:ascii="Calibri" w:hAnsi="Calibri" w:cs="Calibri"/>
              </w:rPr>
              <w:t>Theme 5: Governance and Legal Framework</w:t>
            </w:r>
            <w:r w:rsidRPr="00B23396">
              <w:rPr>
                <w:rFonts w:ascii="Calibri" w:hAnsi="Calibri" w:cs="Calibri"/>
              </w:rPr>
              <w:br/>
            </w:r>
          </w:p>
        </w:tc>
      </w:tr>
      <w:tr w:rsidR="00B23396" w:rsidRPr="00B23396" w14:paraId="545C9295" w14:textId="77777777" w:rsidTr="00B2339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983" w:type="pct"/>
            <w:hideMark/>
          </w:tcPr>
          <w:p w14:paraId="1E864C04" w14:textId="77777777" w:rsidR="00B23396" w:rsidRPr="00B23396" w:rsidRDefault="00B23396" w:rsidP="005B49F1">
            <w:pPr>
              <w:tabs>
                <w:tab w:val="left" w:pos="927"/>
              </w:tabs>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{"citationItems":[{"id":"ITEM-1","itemData":{"abstract":"The challenges associated with financial stability and sustainability of family economy in the future are increasing. The most worrying is the problems facing the survivors after the death of their breadwinners. The majority of Muslims are rarely ready for this possibility and many lacks the knowledge on how to face such a situation. Some wrongly hold to the view that such preparation is not encouraged in Islam, against the principle of faraidh (estate planning) and an act of avoiding taxation and etc. In this article, it is shown that although waqf (Islamic endowment) appears in the form of charity but the outcomes are tremendous, encompassing family future investment and income generating. Employing a doctrinal analysis by looking into the available literatures on waqf, this article discusses how waqf ahli can contribute to family security and ensure a sustainable family economy. It is shown that Islamic endowment (waqf) aims to preserve and protect property for the use of the public; including spending on family. In addition, family waqf saves the heirs' property or business from fragmentation. Most importantly, it ensures sustainable family financial planning within the Shari‘ah framework while adding value to the existing family property or business","author":[{"dropping-particle":"","family":"Asiah","given":"Mohamad Nor","non-dropping-particle":"","parse-names":false,"suffix":""}],"container-title":"IIUM Law Journal","id":"ITEM-1","issue":"1","issued":{"date-parts":[["2018"]]},"page":"141-160","title":"A Study on the Socio-Economic Roles of Waqf Ahli ( Family Waqf ) in Promoting Family Security and a Sustainable Family Economy * Kajian Mengenai Peranan Sosio-Ekonomi Waqf Ahli ( Waqf Keluarga ) Dalam Meningkatkan","type":"article-journal","volume":"26"},"uris":["http://www.mendeley.com/documents/?uuid=b173b62b-f560-4ea0-aa22-726b2d95bbfb"]}],"mendeley":{"formattedCitation":"(Asiah, 2018)","plainTextFormattedCitation":"(Asiah, 2018)","previouslyFormattedCitation":"(Asiah, 2018)"},"properties":{"noteIndex":0},"schema":"https://github.com/citation-style-language/schema/raw/master/csl-citation.json"}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(Asiah, 2018)</w:t>
            </w:r>
            <w:r w:rsidRPr="00B23396">
              <w:rPr>
                <w:rFonts w:ascii="Calibri" w:hAnsi="Calibri" w:cs="Calibri"/>
              </w:rPr>
              <w:fldChar w:fldCharType="end"/>
            </w:r>
          </w:p>
          <w:p w14:paraId="211EFDD6" w14:textId="77777777" w:rsidR="00B23396" w:rsidRPr="00B23396" w:rsidRDefault="00B23396" w:rsidP="005B49F1">
            <w:pPr>
              <w:spacing w:after="0" w:line="240" w:lineRule="auto"/>
              <w:jc w:val="center"/>
              <w:rPr>
                <w:rFonts w:ascii="Calibri" w:hAnsi="Calibri" w:cs="Calibri"/>
              </w:rPr>
            </w:pPr>
          </w:p>
        </w:tc>
        <w:tc>
          <w:tcPr>
            <w:tcW w:w="796" w:type="pct"/>
            <w:noWrap/>
            <w:hideMark/>
          </w:tcPr>
          <w:p w14:paraId="3CFCC00D"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63" w:type="pct"/>
            <w:noWrap/>
            <w:hideMark/>
          </w:tcPr>
          <w:p w14:paraId="47608D3C"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23396">
              <w:rPr>
                <w:rFonts w:ascii="Calibri" w:hAnsi="Calibri" w:cs="Calibri"/>
              </w:rPr>
              <w:t>/</w:t>
            </w:r>
          </w:p>
        </w:tc>
        <w:tc>
          <w:tcPr>
            <w:tcW w:w="786" w:type="pct"/>
            <w:noWrap/>
          </w:tcPr>
          <w:p w14:paraId="5E1720D2"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54" w:type="pct"/>
            <w:noWrap/>
          </w:tcPr>
          <w:p w14:paraId="3852F2F4"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19" w:type="pct"/>
            <w:noWrap/>
          </w:tcPr>
          <w:p w14:paraId="613F4C3C"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3396" w:rsidRPr="00B23396" w14:paraId="3BD05269" w14:textId="77777777" w:rsidTr="00B23396">
        <w:trPr>
          <w:trHeight w:val="506"/>
        </w:trPr>
        <w:tc>
          <w:tcPr>
            <w:cnfStyle w:val="001000000000" w:firstRow="0" w:lastRow="0" w:firstColumn="1" w:lastColumn="0" w:oddVBand="0" w:evenVBand="0" w:oddHBand="0" w:evenHBand="0" w:firstRowFirstColumn="0" w:firstRowLastColumn="0" w:lastRowFirstColumn="0" w:lastRowLastColumn="0"/>
            <w:tcW w:w="983" w:type="pct"/>
            <w:hideMark/>
          </w:tcPr>
          <w:p w14:paraId="7E703079"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{"citationItems":[{"id":"ITEM-1","itemData":{"DOI":"10.1108/IJEM-06-2017-0140","ISSN":"0951354X","abstract":"Purpose: The purpose of this paper is twofold: first, to elicit perceptions of senior officers on the overall financial sustainability of their institutions; and, second, to examine senior officers’ perceptions on important revenue diversification and cost management practices. Design/methodology/approach: The study employed a questionnaire survey with senior academic and administrative staff of the 20 public universities in Malaysia. In total, 275 questionnaires were distributed and 69 were returned, yielding a response rate of 25.09 per cent. Descriptive statistics were used to analyse the general perceptions of the survey respondents on public university financial sustainability issues. Findings: The study suggests that respondents are receptive of the financial sustainability challenges faced by their institutions. Respondents agree that increasing tuition fees may not be a feasible revenue enhancement strategy for public universities. Instead, all respondents agree that full utilisation of resources will be a key strategy that the universities can apply. Originality/value: This study contributes to the limited research on the financial sustainability of public universities in developing countries. Findings of the study have implications for the financial management and governance of public universities in Malaysia and other countries facing similar fiscal challenges. The findings of the study also provide important empirical evidence for future work in the area.","author":[{"dropping-particle":"","family":"Nik Ahmad","given":"Nik Nazli","non-dropping-particle":"","parse-names":false,"suffix":""},{"dropping-particle":"","family":"Ismail","given":"Suhaiza","non-dropping-particle":"","parse-names":false,"suffix":""},{"dropping-particle":"","family":"Siraj","given":"Siti Alawiah","non-dropping-particle":"","parse-names":false,"suffix":""}],"container-title":"International Journal of Educational Management","id":"ITEM-1","issue":"2","issued":{"date-parts":[["2019"]]},"page":"317-334","title":"Financial sustainability of Malaysian public universities: officers’ perceptions","type":"article-journal","volume":"33"},"uris":["http://www.mendeley.com/documents/?uuid=795e4ff5-dd60-46d3-a78b-51d5c9b14ad9"]}],"mendeley":{"formattedCitation":"(Nik Ahmad et al., 2019)","plainTextFormattedCitation":"(Nik Ahmad et al., 2019)","previouslyFormattedCitation":"(Nik Ahmad et al., 2019)"},"properties":{"noteIndex":0},"schema":"https://github.com/citation-style-language/schema/raw/master/csl-citation.json"}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(Nik Ahmad et al., 2019)</w:t>
            </w:r>
            <w:r w:rsidRPr="00B23396">
              <w:rPr>
                <w:rFonts w:ascii="Calibri" w:hAnsi="Calibri" w:cs="Calibri"/>
              </w:rPr>
              <w:fldChar w:fldCharType="end"/>
            </w:r>
          </w:p>
        </w:tc>
        <w:tc>
          <w:tcPr>
            <w:tcW w:w="796" w:type="pct"/>
            <w:noWrap/>
            <w:hideMark/>
          </w:tcPr>
          <w:p w14:paraId="310083B3"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23396">
              <w:rPr>
                <w:rFonts w:ascii="Calibri" w:hAnsi="Calibri" w:cs="Calibri"/>
              </w:rPr>
              <w:t>/</w:t>
            </w:r>
          </w:p>
        </w:tc>
        <w:tc>
          <w:tcPr>
            <w:tcW w:w="863" w:type="pct"/>
            <w:noWrap/>
          </w:tcPr>
          <w:p w14:paraId="7BC939AC"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86" w:type="pct"/>
            <w:noWrap/>
          </w:tcPr>
          <w:p w14:paraId="71B67EE8"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54" w:type="pct"/>
            <w:noWrap/>
          </w:tcPr>
          <w:p w14:paraId="012F7B34"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19" w:type="pct"/>
            <w:noWrap/>
          </w:tcPr>
          <w:p w14:paraId="1596232E"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23396" w:rsidRPr="00B23396" w14:paraId="3BC9B4FB" w14:textId="77777777" w:rsidTr="00B23396">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83" w:type="pct"/>
            <w:hideMark/>
          </w:tcPr>
          <w:p w14:paraId="41F65C0D"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{"citationItems":[{"id":"ITEM-1","itemData":{"DOI":"10.26414/a064","ISSN":"21479054","abstract":"The Battle of Marawi which continued from 23 May 2017 to 23 October 2017, took place in Marawi city, the capital of Lanao del Sur province in the Philippines. As an aftermath of the terror attack, the town was left in ruins with 95% of the structures within the four square kilometers of the main battle area heavily damaged or completely collapsed. 3,152 buildings were utterly destroyed, and 2,145 buildings were partially or heavily damaged due to the five-month heavy bombardment during the battle. Government estimates have placed the number of displaced residents at 200,000. These people are in urgent need of housing. However, it is almost impossible for them to get loans from commercial banks due to the credit risk. In this study, we are proposing a sustainable model which will assist the residents in rebuilding or renovating their houses with a unique model of financing, which adapts to a waqf and zakat system. This paper proposes a sustainable model which refers to the practices implemented in the history of the Muslim world, namely waqf model that existed during Ottoman times in the 18th century and onwards known as Waqf to Release the Indebted Prisoners to suggest an innovative solution based on waqf to cover a Non-Performing Loans. The study also investigates earlier text on debt from Al-Majalla Book IV: Transfer of Debt as well as existing fatawa on the implacability of the model without contradicting the rules of Shariah.","author":[{"dropping-particle":"","family":"Bayram","given":"Kamola","non-dropping-particle":"","parse-names":false,"suffix":""},{"dropping-particle":"","family":"Altarturi","given":"Basheer","non-dropping-particle":"","parse-names":false,"suffix":""}],"container-title":"Turkish Journal of Islamic Economics","id":"ITEM-1","issue":"1","issued":{"date-parts":[["2020"]]},"page":"1-12","title":"Waqf Al-Gharimin Approach for Non- Performing Loans of Cooperative Banks with a Special Focus on Marawi Case","type":"article-journal","volume":"7"},"uris":["http://www.mendeley.com/documents/?uuid=b9477286-6f03-460b-924e-5b69f7c2cb1d"]}],"mendeley":{"formattedCitation":"(Bayram &amp; Altarturi, 2020)","plainTextFormattedCitation":"(Bayram &amp; Altarturi, 2020)","previouslyFormattedCitation":"(Bayram &amp; Altarturi, 2020)"},"properties":{"noteIndex":0},"schema":"https://github.com/citation-style-language/schema/raw/master/csl-citation.json"}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(Bayram &amp; Altarturi, 2020)</w:t>
            </w:r>
            <w:r w:rsidRPr="00B23396">
              <w:rPr>
                <w:rFonts w:ascii="Calibri" w:hAnsi="Calibri" w:cs="Calibri"/>
              </w:rPr>
              <w:fldChar w:fldCharType="end"/>
            </w:r>
            <w:r w:rsidRPr="00B23396">
              <w:rPr>
                <w:rFonts w:ascii="Calibri" w:hAnsi="Calibri" w:cs="Calibri"/>
              </w:rPr>
              <w:br/>
            </w:r>
          </w:p>
        </w:tc>
        <w:tc>
          <w:tcPr>
            <w:tcW w:w="796" w:type="pct"/>
            <w:noWrap/>
            <w:hideMark/>
          </w:tcPr>
          <w:p w14:paraId="23362F0C"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23396">
              <w:rPr>
                <w:rFonts w:ascii="Calibri" w:hAnsi="Calibri" w:cs="Calibri"/>
              </w:rPr>
              <w:t>/</w:t>
            </w:r>
          </w:p>
        </w:tc>
        <w:tc>
          <w:tcPr>
            <w:tcW w:w="863" w:type="pct"/>
            <w:noWrap/>
          </w:tcPr>
          <w:p w14:paraId="70B7AE68"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86" w:type="pct"/>
            <w:noWrap/>
          </w:tcPr>
          <w:p w14:paraId="51AABDD2"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54" w:type="pct"/>
            <w:noWrap/>
          </w:tcPr>
          <w:p w14:paraId="1E410CD0"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19" w:type="pct"/>
            <w:noWrap/>
          </w:tcPr>
          <w:p w14:paraId="40955424"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3396" w:rsidRPr="00B23396" w14:paraId="13C00C10" w14:textId="77777777" w:rsidTr="00B23396">
        <w:trPr>
          <w:trHeight w:val="689"/>
        </w:trPr>
        <w:tc>
          <w:tcPr>
            <w:cnfStyle w:val="001000000000" w:firstRow="0" w:lastRow="0" w:firstColumn="1" w:lastColumn="0" w:oddVBand="0" w:evenVBand="0" w:oddHBand="0" w:evenHBand="0" w:firstRowFirstColumn="0" w:firstRowLastColumn="0" w:lastRowFirstColumn="0" w:lastRowLastColumn="0"/>
            <w:tcW w:w="983" w:type="pct"/>
            <w:hideMark/>
          </w:tcPr>
          <w:p w14:paraId="4430DB19"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{"citationItems":[{"id":"ITEM-1","itemData":{"DOI":"10.15405/epsbs.2020.12.05.41","abstract":"In Malaysia, the matters related to waqf fall under the jurisdiction of the states and not under the jurisdiction of the federal authority. Due to the fact that, Malaysia is consist of 14 different states, this would mean Malaysia has 14 different unique with different ways of Waqf Management. The latest new financial mechanism, which is Cash Waqaf, could be an alternative financial instrument for Muslim to achieve high rate of economic development. The purpose of this study is to scrutinize the level of awareness among Malaysia Citizens towards the implementation of cash waqaf in Pahang. This study will apply the quantitative method through surveys and questionnaires. The confirmatory by the purposive sampling through semi structure interview with Government Practitioners, which is Majlis Agama Islam Pahang (MAIPs). Finally, this study will definitely help Government Practitioners especially Majlis Agama Islam Pahang (MAIPs) to identify the level of awareness towards the implementation of Cash Waqf in Pahang States. The findings will help to eradicate poverty and align the community to the sustainability economy development, which was highlighted in the 11th Malaysia’s Plan.","author":[{"dropping-particle":"","family":"Razak","given":"Siti Fara Fadila Binti Abd","non-dropping-particle":"","parse-names":false,"suffix":""}],"id":"ITEM-1","issued":{"date-parts":[["2020"]]},"page":"388-395","title":"An Analysis of Cash Waqf Involvement Among Malaysia Citizen in Pahang, Malaysia","type":"article-journal"},"uris":["http://www.mendeley.com/documents/?uuid=805fa42b-c537-478f-bef4-f2072b3a2278"]}],"mendeley":{"formattedCitation":"(Razak, 2020)","plainTextFormattedCitation":"(Razak, 2020)","previouslyFormattedCitation":"(Razak, 2020)"},"properties":{"noteIndex":0},"schema":"https://github.com/citation-style-language/schema/raw/master/csl-citation.json"}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(Razak, 2020)</w:t>
            </w:r>
            <w:r w:rsidRPr="00B23396">
              <w:rPr>
                <w:rFonts w:ascii="Calibri" w:hAnsi="Calibri" w:cs="Calibri"/>
              </w:rPr>
              <w:fldChar w:fldCharType="end"/>
            </w:r>
            <w:r w:rsidRPr="00B23396">
              <w:rPr>
                <w:rFonts w:ascii="Calibri" w:hAnsi="Calibri" w:cs="Calibri"/>
              </w:rPr>
              <w:br/>
            </w:r>
          </w:p>
        </w:tc>
        <w:tc>
          <w:tcPr>
            <w:tcW w:w="796" w:type="pct"/>
            <w:noWrap/>
            <w:hideMark/>
          </w:tcPr>
          <w:p w14:paraId="215226B9"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23396">
              <w:rPr>
                <w:rFonts w:ascii="Calibri" w:hAnsi="Calibri" w:cs="Calibri"/>
              </w:rPr>
              <w:t>/</w:t>
            </w:r>
          </w:p>
        </w:tc>
        <w:tc>
          <w:tcPr>
            <w:tcW w:w="863" w:type="pct"/>
            <w:noWrap/>
          </w:tcPr>
          <w:p w14:paraId="67A45C79"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86" w:type="pct"/>
            <w:noWrap/>
          </w:tcPr>
          <w:p w14:paraId="277C82EC"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54" w:type="pct"/>
            <w:noWrap/>
          </w:tcPr>
          <w:p w14:paraId="6EB75FF6"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19" w:type="pct"/>
            <w:noWrap/>
          </w:tcPr>
          <w:p w14:paraId="0BE96478"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23396" w:rsidRPr="00B23396" w14:paraId="53FC0AA7" w14:textId="77777777" w:rsidTr="00B23396">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83" w:type="pct"/>
            <w:hideMark/>
          </w:tcPr>
          <w:p w14:paraId="499B8BB1"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{"citationItems":[{"id":"ITEM-1","itemData":{"DOI":"10.1371/journal.pone.0276876","ISBN":"1111111111","ISSN":"19326203","PMID":"36413519","abstract":"Several previous studies state that the Islamic Social Finance program has not fully succeeded in creating prosperity, and there are no definite measurements to show the sustainability impact of the program. Thus, a measurement is needed to analyze various aspects in achieving the success and sustainability of Islamic social finance programs. This study developed an index for performance evaluation with an emphasis on the success and sustainability of the Islamic Social Finance program. The study used the Analytical Network Process to determine and analyze priority components. Furthermore, the Multistage Weighted Index method was used to calculate the final index score. The index was built by taking into consideration various factors, stakeholders, aspects, and indicators. This study indicates that aspects of funding contribution from donors (0.22), involvement of donors in giving advice (0.99), and controlling of supervisor (0.08) are priority aspects in the success and sustainability of the program. An empirical investigation was performed on three different programs in Indonesia: A, B, and C. Program A (0.81) and C (0.80) have succeeded in improving the beneficiaries' quality of life to the level of economic resilience, although at a low level of sustainability (76-84.33). On the other hand, program B (0.73) is at the economic reinforcement and has not yet achieved sustainability. This index can be seen as a comprehensive tool for measuring the success and sustainability of the program at several levels.","author":[{"dropping-particle":"","family":"Widiastuti","given":"Tika","non-dropping-particle":"","parse-names":false,"suffix":""},{"dropping-particle":"","family":"Prasetyo","given":"Arie","non-dropping-particle":"","parse-names":false,"suffix":""},{"dropping-particle":"","family":"Robani","given":"Anidah","non-dropping-particle":"","parse-names":false,"suffix":""},{"dropping-particle":"","family":"Mawardi","given":"Imron","non-dropping-particle":"","parse-names":false,"suffix":""},{"dropping-particle":"","family":"Rosida","given":"Rida","non-dropping-particle":"","parse-names":false,"suffix":""},{"dropping-particle":"","family":"Mustofa","given":"Muhammad Ubaidillah","non-dropping-particle":"Al","parse-names":false,"suffix":""}],"container-title":"PLoS ONE","id":"ITEM-1","issue":"11 November","issued":{"date-parts":[["2022"]]},"page":"1-26","title":"Toward developing a sustainability index for the Islamic Social Finance program: An empirical investigation","type":"article-journal","volume":"17"},"uris":["http://www.mendeley.com/documents/?uuid=e3e7c614-4c8a-43bc-af6f-153bd8d02659"]}],"mendeley":{"formattedCitation":"(Widiastuti et al., 2022)","plainTextFormattedCitation":"(Widiastuti et al., 2022)","previouslyFormattedCitation":"(Widiastuti et al., 2022)"},"properties":{"noteIndex":0},"schema":"https://github.com/citation-style-language/schema/raw/master/csl-citation.json"}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(Widiastuti et al., 2022)</w:t>
            </w:r>
            <w:r w:rsidRPr="00B23396">
              <w:rPr>
                <w:rFonts w:ascii="Calibri" w:hAnsi="Calibri" w:cs="Calibri"/>
              </w:rPr>
              <w:fldChar w:fldCharType="end"/>
            </w:r>
            <w:r w:rsidRPr="00B23396">
              <w:rPr>
                <w:rFonts w:ascii="Calibri" w:hAnsi="Calibri" w:cs="Calibri"/>
              </w:rPr>
              <w:br/>
            </w:r>
          </w:p>
        </w:tc>
        <w:tc>
          <w:tcPr>
            <w:tcW w:w="796" w:type="pct"/>
            <w:noWrap/>
          </w:tcPr>
          <w:p w14:paraId="6F4AE2E2"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63" w:type="pct"/>
            <w:noWrap/>
          </w:tcPr>
          <w:p w14:paraId="26EEF349"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86" w:type="pct"/>
            <w:noWrap/>
            <w:hideMark/>
          </w:tcPr>
          <w:p w14:paraId="37F802AC"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23396">
              <w:rPr>
                <w:rFonts w:ascii="Calibri" w:hAnsi="Calibri" w:cs="Calibri"/>
              </w:rPr>
              <w:t>/</w:t>
            </w:r>
          </w:p>
        </w:tc>
        <w:tc>
          <w:tcPr>
            <w:tcW w:w="854" w:type="pct"/>
            <w:noWrap/>
          </w:tcPr>
          <w:p w14:paraId="408B6171"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19" w:type="pct"/>
            <w:noWrap/>
          </w:tcPr>
          <w:p w14:paraId="3E26078A"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3396" w:rsidRPr="00B23396" w14:paraId="592F7850" w14:textId="77777777" w:rsidTr="00B23396">
        <w:trPr>
          <w:trHeight w:val="692"/>
        </w:trPr>
        <w:tc>
          <w:tcPr>
            <w:cnfStyle w:val="001000000000" w:firstRow="0" w:lastRow="0" w:firstColumn="1" w:lastColumn="0" w:oddVBand="0" w:evenVBand="0" w:oddHBand="0" w:evenHBand="0" w:firstRowFirstColumn="0" w:firstRowLastColumn="0" w:lastRowFirstColumn="0" w:lastRowLastColumn="0"/>
            <w:tcW w:w="983" w:type="pct"/>
            <w:hideMark/>
          </w:tcPr>
          <w:p w14:paraId="07319A7D"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{"citationItems":[{"id":"ITEM-1","itemData":{"DOI":"10.21834/e-bpj.v8isi14.5057","abstract":"This article presents (i) the potential of waqf and ijarah instruments in economic development and (ii) proposes a model for the integration of waqf and ijarah for the sustainability of Tahfiz institutions. The study used a structured interview method with several founders of Private Tahfiz Schools (PTS), State Islamic Religious Councils (MAIN), and State Islamic Departments (JAIN). The study results present an \"IMWI 4 TAHFIZ AGRIPRENEURCATION\" model that integrates waqf and ijarah instruments, combines smart strategic partners, and involves several sectors of the country, including education, agriculture, entrepreneurship, and tourism.","author":[{"dropping-particle":"","family":"Mohamad Akhir","given":"Noor Syahidah","non-dropping-particle":"","parse-names":false,"suffix":""},{"dropping-particle":"","family":"Mohd Yusof","given":"Azrul Shahimy","non-dropping-particle":"","parse-names":false,"suffix":""},{"dropping-particle":"","family":"Hussin","given":"Rohayati","non-dropping-particle":"","parse-names":false,"suffix":""},{"dropping-particle":"","family":"Mohammed Ghazali","given":"Asmadi","non-dropping-particle":"","parse-names":false,"suffix":""}],"container-title":"Environment-Behaviour Proceedings Journal","id":"ITEM-1","issue":"SI14","issued":{"date-parts":[["2023"]]},"page":"59-64","title":"IMWI 4 Tahfiz Agripreneurcation: A sustainability model for private Tahfiz Schools in Malaysia","type":"article-journal","volume":"8"},"uris":["http://www.mendeley.com/documents/?uuid=143dfb25-fb98-4f04-bcb2-7e301598de37"]}],"mendeley":{"formattedCitation":"(Mohamad Akhir et al., 2023)","plainTextFormattedCitation":"(Mohamad Akhir et al., 2023)","previouslyFormattedCitation":"(Mohamad Akhir et al., 2023)"},"properties":{"noteIndex":0},"schema":"https://github.com/citation-style-language/schema/raw/master/csl-citation.json"}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(Mohamad Akhir et al., 2023)</w:t>
            </w:r>
            <w:r w:rsidRPr="00B23396">
              <w:rPr>
                <w:rFonts w:ascii="Calibri" w:hAnsi="Calibri" w:cs="Calibri"/>
              </w:rPr>
              <w:fldChar w:fldCharType="end"/>
            </w:r>
            <w:r w:rsidRPr="00B23396">
              <w:rPr>
                <w:rFonts w:ascii="Calibri" w:hAnsi="Calibri" w:cs="Calibri"/>
              </w:rPr>
              <w:br/>
            </w:r>
          </w:p>
        </w:tc>
        <w:tc>
          <w:tcPr>
            <w:tcW w:w="796" w:type="pct"/>
            <w:noWrap/>
          </w:tcPr>
          <w:p w14:paraId="15005D84"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63" w:type="pct"/>
            <w:noWrap/>
          </w:tcPr>
          <w:p w14:paraId="4A105BF5"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86" w:type="pct"/>
            <w:noWrap/>
            <w:hideMark/>
          </w:tcPr>
          <w:p w14:paraId="70A49906"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23396">
              <w:rPr>
                <w:rFonts w:ascii="Calibri" w:hAnsi="Calibri" w:cs="Calibri"/>
              </w:rPr>
              <w:t>/</w:t>
            </w:r>
          </w:p>
        </w:tc>
        <w:tc>
          <w:tcPr>
            <w:tcW w:w="854" w:type="pct"/>
            <w:noWrap/>
          </w:tcPr>
          <w:p w14:paraId="758F5EE8"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19" w:type="pct"/>
            <w:noWrap/>
          </w:tcPr>
          <w:p w14:paraId="1838E17F"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23396" w:rsidRPr="00B23396" w14:paraId="184ED199" w14:textId="77777777" w:rsidTr="00B23396">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983" w:type="pct"/>
            <w:hideMark/>
          </w:tcPr>
          <w:p w14:paraId="0D27713A"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{"citationItems":[{"id":"ITEM-1","itemData":{"DOI":"10.24200/jonus.vol5iss2pp48-67","ISSN":"0127-9319","abstract":"The prosperity, stability, and socio-economic balance observed throughout Ottoman history was largely sustained by several key institutions developed in accordance with emerging challenges of the time whilst functioning effectively. Both the Ottoman economic mindset and impact of those institutions on the socio-economic and financial development cannot be ignored. In addition to other significant economic, social and political institutions, the waqf (charitable endowments) played a crucial role in Ottoman society and contributed to the supply of primary social needs, whether related to education, finance, health, economy, infrastructure or social stability. This article seeks to explore the role of waqfs, especially cash waqfs throughout 15th-19th century Ottoman Europe. It concludes that the investment of those waqf-based charity institution in religious, educational, health, and socio-economic sectors allowed for invaluable contributions in social spheres and public welfare in addition to playing a crucial role in the economic and financial stability and sustainability of the Ottoman society over long periods of time.\r  \r Keywords: Balkan, cash Waqf, development, endowment, Islamic finance, Ottoman civilization, Ottoman economy.\r  \r Cite as: Bulut, M. (2020). Civilization, economy and waqf in Ottoman Europe. Journal of Nusantara Studies, 5(2), 48-67. http://dx.doi.org/10.24200/jonus.vol5iss2pp48-67","author":[{"dropping-particle":"","family":"Bulut","given":"Mehmet","non-dropping-particle":"","parse-names":false,"suffix":""}],"container-title":"Journal of Nusantara Studies (JONUS)","id":"ITEM-1","issue":"2","issued":{"date-parts":[["2020"]]},"page":"48-67","title":"Civilization, Economy and Waqf in Ottoman Europe","type":"article-journal","volume":"5"},"uris":["http://www.mendeley.com/documents/?uuid=b329c6f1-bd5d-4939-aa60-f53be6f99179"]}],"mendeley":{"formattedCitation":"(Bulut, 2020)","plainTextFormattedCitation":"(Bulut, 2020)","previouslyFormattedCitation":"(Bulut, 2020)"},"properties":{"noteIndex":0},"schema":"https://github.com/citation-style-language/schema/raw/master/csl-citation.json"}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(Bulut, 2020)</w:t>
            </w:r>
            <w:r w:rsidRPr="00B23396">
              <w:rPr>
                <w:rFonts w:ascii="Calibri" w:hAnsi="Calibri" w:cs="Calibri"/>
              </w:rPr>
              <w:fldChar w:fldCharType="end"/>
            </w:r>
            <w:r w:rsidRPr="00B23396">
              <w:rPr>
                <w:rFonts w:ascii="Calibri" w:hAnsi="Calibri" w:cs="Calibri"/>
              </w:rPr>
              <w:br/>
            </w:r>
          </w:p>
        </w:tc>
        <w:tc>
          <w:tcPr>
            <w:tcW w:w="796" w:type="pct"/>
            <w:noWrap/>
            <w:hideMark/>
          </w:tcPr>
          <w:p w14:paraId="3D2F8195"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23396">
              <w:rPr>
                <w:rFonts w:ascii="Calibri" w:hAnsi="Calibri" w:cs="Calibri"/>
              </w:rPr>
              <w:t>/</w:t>
            </w:r>
          </w:p>
        </w:tc>
        <w:tc>
          <w:tcPr>
            <w:tcW w:w="863" w:type="pct"/>
            <w:noWrap/>
          </w:tcPr>
          <w:p w14:paraId="628AFDDB"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86" w:type="pct"/>
            <w:noWrap/>
          </w:tcPr>
          <w:p w14:paraId="09399467"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54" w:type="pct"/>
            <w:noWrap/>
          </w:tcPr>
          <w:p w14:paraId="00FEDEBB"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19" w:type="pct"/>
            <w:noWrap/>
          </w:tcPr>
          <w:p w14:paraId="4CB35EF6"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3396" w:rsidRPr="00B23396" w14:paraId="69AD72B5" w14:textId="77777777" w:rsidTr="00B23396">
        <w:trPr>
          <w:trHeight w:val="529"/>
        </w:trPr>
        <w:tc>
          <w:tcPr>
            <w:cnfStyle w:val="001000000000" w:firstRow="0" w:lastRow="0" w:firstColumn="1" w:lastColumn="0" w:oddVBand="0" w:evenVBand="0" w:oddHBand="0" w:evenHBand="0" w:firstRowFirstColumn="0" w:firstRowLastColumn="0" w:lastRowFirstColumn="0" w:lastRowLastColumn="0"/>
            <w:tcW w:w="983" w:type="pct"/>
            <w:hideMark/>
          </w:tcPr>
          <w:p w14:paraId="22CB8B70"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{"citationItems":[{"id":"ITEM-1","itemData":{"DOI":"10.13106/jafeb.2019.vol6.no4.189","ISSN":"22884645","abstract":"The objectives of this study are to propose the Integrated Waqf Environmental Protection Model (IWEP) and investigate the farmers' intention to adopt it. hi developing the IWEP model and investigating farmers' willingness to adopt it. this study surveyed 400 fanners in Kedah. The intention of the fanners to adopt the proposed model was analysed by adding perceived barriers and socioeconomic variables into the theory of reasoned action (TRA) model. The collected data were processed using structural equation modelling (SEM). The SEM results show that the subjective norm is positive and has a significant impact on the intentions of low-income farmers to accept the IWEP model. This indicates that the decision of the low-income fanners to accept the IWEP model is significantly influenced by their family members, neighbours and friends. Fiutheimore. awareness and perceived barriers have a greater impact on the elderly highly educated and wealthy fanners. The findings indicate that the elderly, highly educated and wealthy fanners are aware of climate change and they perceive higher risks or haulers to climate change. As a result, they are more likely to have an adaptation intention. If we encourage people to create waqf fluid, we can increase the value of the fanner and the country's total GDP.","author":[{"dropping-particle":"","family":"Afroz","given":"Rafla","non-dropping-particle":"","parse-names":false,"suffix":""},{"dropping-particle":"","family":"Muhibbullah","given":"Md","non-dropping-particle":"","parse-names":false,"suffix":""},{"dropping-particle":"","family":"Morshed","given":"Mohammed Niaz","non-dropping-particle":"","parse-names":false,"suffix":""}],"container-title":"Journal of Asian Finance, Economics and Business","id":"ITEM-1","issue":"4","issued":{"date-parts":[["2019"]]},"page":"189-199","title":"Factors affecting the intention of the rice farmers to adopt the integrated cash Waqf environmental protection model: An empirical study in kedah Malaysia","type":"article-journal","volume":"6"},"uris":["http://www.mendeley.com/documents/?uuid=909e5bb0-8524-457e-97e9-92687afc1206"]}],"mendeley":{"formattedCitation":"(Afroz et al., 2019)","plainTextFormattedCitation":"(Afroz et al., 2019)","previouslyFormattedCitation":"(Afroz et al., 2019)"},"properties":{"noteIndex":0},"schema":"https://github.com/citation-style-language/schema/raw/master/csl-citation.json"}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(Afroz et al., 2019)</w:t>
            </w:r>
            <w:r w:rsidRPr="00B23396">
              <w:rPr>
                <w:rFonts w:ascii="Calibri" w:hAnsi="Calibri" w:cs="Calibri"/>
              </w:rPr>
              <w:fldChar w:fldCharType="end"/>
            </w:r>
          </w:p>
        </w:tc>
        <w:tc>
          <w:tcPr>
            <w:tcW w:w="796" w:type="pct"/>
            <w:noWrap/>
          </w:tcPr>
          <w:p w14:paraId="75B10BA5"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63" w:type="pct"/>
            <w:noWrap/>
          </w:tcPr>
          <w:p w14:paraId="2418AF7B"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86" w:type="pct"/>
            <w:noWrap/>
          </w:tcPr>
          <w:p w14:paraId="6210C2F2"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54" w:type="pct"/>
            <w:noWrap/>
            <w:hideMark/>
          </w:tcPr>
          <w:p w14:paraId="38139FC5"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23396">
              <w:rPr>
                <w:rFonts w:ascii="Calibri" w:hAnsi="Calibri" w:cs="Calibri"/>
              </w:rPr>
              <w:t>/</w:t>
            </w:r>
          </w:p>
        </w:tc>
        <w:tc>
          <w:tcPr>
            <w:tcW w:w="719" w:type="pct"/>
            <w:noWrap/>
          </w:tcPr>
          <w:p w14:paraId="63E52AF2"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23396" w:rsidRPr="00B23396" w14:paraId="16F2054A" w14:textId="77777777" w:rsidTr="00B23396">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83" w:type="pct"/>
            <w:hideMark/>
          </w:tcPr>
          <w:p w14:paraId="3E168011"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{"citationItems":[{"id":"ITEM-1","itemData":{"DOI":"10.26414/a2759","ISBN":"0000000160865","ISSN":"21479054","abstract":"Social enterprises have substantially affected Indonesia’s economic growth and may contribute to the Sustainable Development Goals (SDGs’) achievement. Social enterprises empower minority groups by giving greater accessibility to a facility for a sustainable means of livelihood to the low income and disadvantaged groups, which make up a considerable part of the population, thereby creating an inclusive workforce. However, financial issues still pose a challenge for the sustainability of social enterprises in Indonesia due to the awkward reconciliation of their social missions, a characteristic of their businesses, with the less attractive returns for their investors. Cash waqf is one of the Islamic social finance instruments accepted to invest and manage certain funds to solve different social challenges relevant to the SDGs. Hence, this study aims to achieve the following objectives: (i) to identify the current issues of social enterprises; and (ii) to propose an Integrated Cash Waqf Social Enterprise Business (ICWSE-B) model in achieving the SDG8 in Indonesia. This paper adopts a qualitative research method with primary data obtained mainly from interviews. The findings suggest that financing remains the most significant challenge for most social enterprise businesses. The study also introduced an innovative integrated business model of social enterprise and cash waqf known as the ICWSE-B model to solve many social enterprises’ financial issues. The proposed ICWSE-B model is considered most suitable for social enterprise as it supports decent work and economic growth of the SDGs.","author":[{"dropping-particle":"","family":"Fauziah","given":"Najim Nur","non-dropping-particle":"","parse-names":false,"suffix":""}],"container-title":"Turkish Journal of Islamic Economics","id":"ITEM-1","issue":"Special Issue","issued":{"date-parts":[["2021"]]},"page":"195-217","title":"Developing Cash Waqf Model as an Alternative Financing for Social Enterprises to Support Decent Work and Economic Growth in Indonesia","type":"article-journal","volume":"8"},"uris":["http://www.mendeley.com/documents/?uuid=924e14c2-b3a4-4acc-9cba-c68449694503"]}],"mendeley":{"formattedCitation":"(Fauziah, 2021)","plainTextFormattedCitation":"(Fauziah, 2021)","previouslyFormattedCitation":"(Fauziah, 2021)"},"properties":{"noteIndex":0},"schema":"https://github.com/citation-style-language/schema/raw/master/csl-citation.json"}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(Fauziah, 2021)</w:t>
            </w:r>
            <w:r w:rsidRPr="00B23396">
              <w:rPr>
                <w:rFonts w:ascii="Calibri" w:hAnsi="Calibri" w:cs="Calibri"/>
              </w:rPr>
              <w:fldChar w:fldCharType="end"/>
            </w:r>
            <w:r w:rsidRPr="00B23396">
              <w:rPr>
                <w:rFonts w:ascii="Calibri" w:hAnsi="Calibri" w:cs="Calibri"/>
              </w:rPr>
              <w:br/>
            </w:r>
          </w:p>
        </w:tc>
        <w:tc>
          <w:tcPr>
            <w:tcW w:w="796" w:type="pct"/>
            <w:noWrap/>
            <w:hideMark/>
          </w:tcPr>
          <w:p w14:paraId="003BDEC0"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23396">
              <w:rPr>
                <w:rFonts w:ascii="Calibri" w:hAnsi="Calibri" w:cs="Calibri"/>
              </w:rPr>
              <w:t>/</w:t>
            </w:r>
          </w:p>
        </w:tc>
        <w:tc>
          <w:tcPr>
            <w:tcW w:w="863" w:type="pct"/>
            <w:noWrap/>
            <w:hideMark/>
          </w:tcPr>
          <w:p w14:paraId="13DD25AC"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86" w:type="pct"/>
            <w:noWrap/>
          </w:tcPr>
          <w:p w14:paraId="25FAFAA0"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54" w:type="pct"/>
            <w:noWrap/>
          </w:tcPr>
          <w:p w14:paraId="286D8461"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19" w:type="pct"/>
            <w:noWrap/>
          </w:tcPr>
          <w:p w14:paraId="0C7C4865"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3396" w:rsidRPr="00B23396" w14:paraId="3C8A77A1" w14:textId="77777777" w:rsidTr="00B23396">
        <w:trPr>
          <w:trHeight w:val="565"/>
        </w:trPr>
        <w:tc>
          <w:tcPr>
            <w:cnfStyle w:val="001000000000" w:firstRow="0" w:lastRow="0" w:firstColumn="1" w:lastColumn="0" w:oddVBand="0" w:evenVBand="0" w:oddHBand="0" w:evenHBand="0" w:firstRowFirstColumn="0" w:firstRowLastColumn="0" w:lastRowFirstColumn="0" w:lastRowLastColumn="0"/>
            <w:tcW w:w="983" w:type="pct"/>
            <w:hideMark/>
          </w:tcPr>
          <w:p w14:paraId="5DC19D01"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{"citationItems":[{"id":"ITEM-1","itemData":{"DOI":"10.18502/kss.v3i11.4018","abstract":"The purpose of this article is to explore waqf in practice by understanding the concept- history-issues ofwaqf. This study uses secondary data from books, journal, proceedings, and government rules. It was found that waqf could be the effective instrument to support social development. It has a social function for poverty alleviation, encourages entrepreneurship, and improves education. For waqf institution, administration and comprehensive rule are significant for their sustainability.","author":[{"dropping-particle":"","family":"Kusumaningtias","given":"R","non-dropping-particle":"","parse-names":false,"suffix":""}],"container-title":"KnE Social Sciences","id":"ITEM-1","issue":"11","issued":{"date-parts":[["2019"]]},"page":"348","title":"The Role of Waqf in Social Development","type":"article-journal","volume":"3"},"uris":["http://www.mendeley.com/documents/?uuid=5f02eaee-baa9-411f-9d21-8c3a53f2b2fa"]}],"mendeley":{"formattedCitation":"(Kusumaningtias, 2019)","plainTextFormattedCitation":"(Kusumaningtias, 2019)","previouslyFormattedCitation":"(Kusumaningtias, 2019)"},"properties":{"noteIndex":0},"schema":"https://github.com/citation-style-language/schema/raw/master/csl-citation.json"}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(Kusumaningtias, 2019)</w:t>
            </w:r>
            <w:r w:rsidRPr="00B23396">
              <w:rPr>
                <w:rFonts w:ascii="Calibri" w:hAnsi="Calibri" w:cs="Calibri"/>
              </w:rPr>
              <w:fldChar w:fldCharType="end"/>
            </w:r>
            <w:r w:rsidRPr="00B23396">
              <w:rPr>
                <w:rFonts w:ascii="Calibri" w:hAnsi="Calibri" w:cs="Calibri"/>
              </w:rPr>
              <w:br/>
            </w:r>
          </w:p>
        </w:tc>
        <w:tc>
          <w:tcPr>
            <w:tcW w:w="796" w:type="pct"/>
            <w:noWrap/>
            <w:hideMark/>
          </w:tcPr>
          <w:p w14:paraId="67B1273F"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63" w:type="pct"/>
            <w:noWrap/>
            <w:hideMark/>
          </w:tcPr>
          <w:p w14:paraId="123B8DB5"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23396">
              <w:rPr>
                <w:rFonts w:ascii="Calibri" w:hAnsi="Calibri" w:cs="Calibri"/>
              </w:rPr>
              <w:t>/</w:t>
            </w:r>
          </w:p>
        </w:tc>
        <w:tc>
          <w:tcPr>
            <w:tcW w:w="786" w:type="pct"/>
            <w:noWrap/>
          </w:tcPr>
          <w:p w14:paraId="11B808DC"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54" w:type="pct"/>
            <w:noWrap/>
          </w:tcPr>
          <w:p w14:paraId="5C38AAEC"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19" w:type="pct"/>
            <w:noWrap/>
          </w:tcPr>
          <w:p w14:paraId="0502191F"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23396" w:rsidRPr="00B23396" w14:paraId="60C36A93" w14:textId="77777777" w:rsidTr="00B23396">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83" w:type="pct"/>
            <w:hideMark/>
          </w:tcPr>
          <w:p w14:paraId="271C2C43"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{"citationItems":[{"id":"ITEM-1","itemData":{"DOI":"10.21834/e-bpj.v8i26.5146","abstract":"This qualitative study explores how mosque-managed cash waqf and zakat funds empower asnaf in the mosque district. Cash waqf resources are donated for larger projects and zakat aid asnaf farmers through mosque-managed agriculture. NVIVO 12-analysed mosque XYZ manager interviews highlight their role in innovative asnaf farmer financial mechanisms for Islamic socioeconomic development. Crowdfunded mosque waqf , zakat  and infaq improve agricultural sustainability and social welfare. The findings guide policymakers, religious institutions, and financial institutions on scalability in other agricultural communities.","author":[{"dropping-particle":"","family":"Mohd Ali","given":"Siti Nadiah","non-dropping-particle":"","parse-names":false,"suffix":""},{"dropping-particle":"","family":"Arshad","given":"Huraizah","non-dropping-particle":"","parse-names":false,"suffix":""},{"dropping-particle":"","family":"Fauzi","given":"Nurul Sahida","non-dropping-particle":"","parse-names":false,"suffix":""},{"dropping-particle":"","family":"Ghonim","given":"Sheikh Mohamed Abdel Aziz","non-dropping-particle":"","parse-names":false,"suffix":""}],"container-title":"Environment-Behaviour Proceedings Journal","id":"ITEM-1","issue":"26","issued":{"date-parts":[["2023"]]},"page":"131-136","title":"Synergizing Community Empowerment: Unveiling the Holistic Framework of Waqf Zakat and Infaq-Funded Agricultural Mosque Projects","type":"article-journal","volume":"8"},"uris":["http://www.mendeley.com/documents/?uuid=5fc23d41-f445-43c8-9664-9625be3ab0fa"]}],"mendeley":{"formattedCitation":"(Mohd Ali et al., 2023)","plainTextFormattedCitation":"(Mohd Ali et al., 2023)","previouslyFormattedCitation":"(Mohd Ali et al., 2023)"},"properties":{"noteIndex":0},"schema":"https://github.com/citation-style-language/schema/raw/master/csl-citation.json"}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(Mohd Ali et al., 2023)</w:t>
            </w:r>
            <w:r w:rsidRPr="00B23396">
              <w:rPr>
                <w:rFonts w:ascii="Calibri" w:hAnsi="Calibri" w:cs="Calibri"/>
              </w:rPr>
              <w:fldChar w:fldCharType="end"/>
            </w:r>
            <w:r w:rsidRPr="00B23396">
              <w:rPr>
                <w:rFonts w:ascii="Calibri" w:hAnsi="Calibri" w:cs="Calibri"/>
              </w:rPr>
              <w:br/>
            </w:r>
          </w:p>
        </w:tc>
        <w:tc>
          <w:tcPr>
            <w:tcW w:w="796" w:type="pct"/>
            <w:noWrap/>
            <w:hideMark/>
          </w:tcPr>
          <w:p w14:paraId="7EDAD8D5"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63" w:type="pct"/>
            <w:noWrap/>
            <w:hideMark/>
          </w:tcPr>
          <w:p w14:paraId="2CBD630F"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23396">
              <w:rPr>
                <w:rFonts w:ascii="Calibri" w:hAnsi="Calibri" w:cs="Calibri"/>
              </w:rPr>
              <w:t>/</w:t>
            </w:r>
          </w:p>
        </w:tc>
        <w:tc>
          <w:tcPr>
            <w:tcW w:w="786" w:type="pct"/>
            <w:noWrap/>
          </w:tcPr>
          <w:p w14:paraId="788DFDB4"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54" w:type="pct"/>
            <w:noWrap/>
          </w:tcPr>
          <w:p w14:paraId="7A4AD8A0"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19" w:type="pct"/>
            <w:noWrap/>
          </w:tcPr>
          <w:p w14:paraId="2465643E"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3396" w:rsidRPr="00B23396" w14:paraId="3C5F35ED" w14:textId="77777777" w:rsidTr="00B23396">
        <w:trPr>
          <w:trHeight w:val="551"/>
        </w:trPr>
        <w:tc>
          <w:tcPr>
            <w:cnfStyle w:val="001000000000" w:firstRow="0" w:lastRow="0" w:firstColumn="1" w:lastColumn="0" w:oddVBand="0" w:evenVBand="0" w:oddHBand="0" w:evenHBand="0" w:firstRowFirstColumn="0" w:firstRowLastColumn="0" w:lastRowFirstColumn="0" w:lastRowLastColumn="0"/>
            <w:tcW w:w="983" w:type="pct"/>
            <w:hideMark/>
          </w:tcPr>
          <w:p w14:paraId="43DC7141"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{"citationItems":[{"id":"ITEM-1","itemData":{"DOI":"10.21837/PM.V19I17.1006","ISSN":"16756215","abstract":"This paper concerns the sustainability of the commercial waqf properties (CWP) in regards to tenancy management (TM) since the waqf properties were underperformed due to large rental arrears in some states. The objective of the study is to investigate the issues of tenancy management that limit the achievement of the financial sustainability of CWP. This research adopts the qualitative approach which employing in-depth interviews at seven (7) CWP as a case study that covered the state of Johor, Selangor, Penang and WPKL. Semistructured interviews were conducted with six (6) waqf property managers (WPM) and twenty-one (21) tenants to get their perspective regarding the issues of tenancy management according to TM attributes. From the findings, it was found that the tenancy businesses attribute is the most issues voiced by the tenants and WPMs followed by tenancy agreement, rental determination and enforcement. Meanwhile, tenant selection and waqf property manager attributes are less critical. Hence, the solutions have been proposed to improve the sustainability of CWP while Shariah principles and waqf needs are being adhered to in the full spectrum of waqf tenancy management.","author":[{"dropping-particle":"","family":"Sipan","given":"Ibrahim","non-dropping-particle":"","parse-names":false,"suffix":""},{"dropping-particle":"","family":"Abas","given":"Farah Nadia","non-dropping-particle":"","parse-names":false,"suffix":""},{"dropping-particle":"","family":"Ghazali","given":"Noor Azimah","non-dropping-particle":"","parse-names":false,"suffix":""},{"dropping-particle":"","family":"Yaacob","given":"Ahmad Che","non-dropping-particle":"","parse-names":false,"suffix":""}],"container-title":"Planning Malaysia","id":"ITEM-1","issue":"3","issued":{"date-parts":[["2021"]]},"page":"283-294","title":"An investigation of the issues of tenancy management practice: The case of commercial waqf properties in malaysia","type":"article-journal","volume":"19"},"uris":["http://www.mendeley.com/documents/?uuid=26c48414-bcce-4d0e-bd3f-f793753570fa"]}],"mendeley":{"formattedCitation":"(Sipan et al., 2021)","plainTextFormattedCitation":"(Sipan et al., 2021)","previouslyFormattedCitation":"(Sipan et al., 2021)"},"properties":{"noteIndex":0},"schema":"https://github.com/citation-style-language/schema/raw/master/csl-citation.json"}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(Sipan et al., 2021)</w:t>
            </w:r>
            <w:r w:rsidRPr="00B23396">
              <w:rPr>
                <w:rFonts w:ascii="Calibri" w:hAnsi="Calibri" w:cs="Calibri"/>
              </w:rPr>
              <w:fldChar w:fldCharType="end"/>
            </w:r>
            <w:r w:rsidRPr="00B23396">
              <w:rPr>
                <w:rFonts w:ascii="Calibri" w:hAnsi="Calibri" w:cs="Calibri"/>
              </w:rPr>
              <w:br/>
            </w:r>
          </w:p>
        </w:tc>
        <w:tc>
          <w:tcPr>
            <w:tcW w:w="796" w:type="pct"/>
            <w:noWrap/>
          </w:tcPr>
          <w:p w14:paraId="7AF19B02"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63" w:type="pct"/>
            <w:noWrap/>
          </w:tcPr>
          <w:p w14:paraId="21D4981C"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86" w:type="pct"/>
            <w:noWrap/>
          </w:tcPr>
          <w:p w14:paraId="73DC31BA"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54" w:type="pct"/>
            <w:noWrap/>
          </w:tcPr>
          <w:p w14:paraId="616C9851"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19" w:type="pct"/>
            <w:noWrap/>
            <w:hideMark/>
          </w:tcPr>
          <w:p w14:paraId="1E1C3D0F"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23396">
              <w:rPr>
                <w:rFonts w:ascii="Calibri" w:hAnsi="Calibri" w:cs="Calibri"/>
              </w:rPr>
              <w:t>/</w:t>
            </w:r>
          </w:p>
        </w:tc>
      </w:tr>
      <w:tr w:rsidR="00B23396" w:rsidRPr="00B23396" w14:paraId="511AFF2A" w14:textId="77777777" w:rsidTr="00B23396">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983" w:type="pct"/>
            <w:hideMark/>
          </w:tcPr>
          <w:p w14:paraId="2BA497E5"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{"citationItems":[{"id":"ITEM-1","itemData":{"DOI":"10.1108/IJIF-10-2018-0118","ISSN":"22894365","abstract":"Purpose: Bringing more impact seems to be a real issue for social initiatives and organizations requiring the adoption of new approaches. The paper aims to define an integrated approach for building, maintaining and upgrading Islamic social finance and sustainable ecosystems. Design/methodology/approach: The paper presents a conceptual framework based on case studies and literature review describing the methodology and the necessary steps to build sustainable ecosystems. Findings: The paper shows the impact of building social finance ecosystems on tackling social issues. It emphasizes the idea that solving social issues is everybody’s business – from governments to businesses – and that those initiatives require sufficient Sharīʿah-compliant funding to achieve sustainability goals. Research limitations/implications: The paper does not focus on the Islamic world experiences in building ecosystems serving social causes. Practical implications: The paper gives an overview on how collaboration between the different social oriented organisations can enhance the social impact of the different initiatives. The aim is to ensure adequate financing to all the ecosystem components during the whole lifecycle. Social implications: The suggested approach of building sustainable ecosystems can serve as a way to assess the existing social initiatives and practices to find relevant combinations targeting more impact. Originality/value: In the social sphere, the idea of building ecosystems has been explored in different ways but never in a way that gathers all the components including finance providers, coordinators and the different types of initiatives. The paper adapts the ecosystem concept to the Islamic finance specificities.","author":[{"dropping-particle":"","family":"Tahiri Jouti","given":"Ahmed","non-dropping-particle":"","parse-names":false,"suffix":""}],"container-title":"ISRA International Journal of Islamic Finance","id":"ITEM-1","issue":"2","issued":{"date-parts":[["2019"]]},"page":"246-266","title":"An integrated approach for building sustainable Islamic social finance ecosystems","type":"article-journal","volume":"11"},"uris":["http://www.mendeley.com/documents/?uuid=f0f18f1c-d9b2-4b6c-bc14-cf6df5f6cd97"]}],"mendeley":{"formattedCitation":"(Tahiri Jouti, 2019)","plainTextFormattedCitation":"(Tahiri Jouti, 2019)","previouslyFormattedCitation":"(Tahiri Jouti, 2019)"},"properties":{"noteIndex":0},"schema":"https://github.com/citation-style-language/schema/raw/master/csl-citation.json"}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(Tahiri Jouti, 2019)</w:t>
            </w:r>
            <w:r w:rsidRPr="00B23396">
              <w:rPr>
                <w:rFonts w:ascii="Calibri" w:hAnsi="Calibri" w:cs="Calibri"/>
              </w:rPr>
              <w:fldChar w:fldCharType="end"/>
            </w:r>
            <w:r w:rsidRPr="00B23396">
              <w:rPr>
                <w:rFonts w:ascii="Calibri" w:hAnsi="Calibri" w:cs="Calibri"/>
              </w:rPr>
              <w:br/>
            </w:r>
          </w:p>
        </w:tc>
        <w:tc>
          <w:tcPr>
            <w:tcW w:w="796" w:type="pct"/>
            <w:noWrap/>
          </w:tcPr>
          <w:p w14:paraId="6463FB04"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63" w:type="pct"/>
            <w:noWrap/>
          </w:tcPr>
          <w:p w14:paraId="6AA1A596"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86" w:type="pct"/>
            <w:noWrap/>
            <w:hideMark/>
          </w:tcPr>
          <w:p w14:paraId="565A633A"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23396">
              <w:rPr>
                <w:rFonts w:ascii="Calibri" w:hAnsi="Calibri" w:cs="Calibri"/>
              </w:rPr>
              <w:t>/</w:t>
            </w:r>
          </w:p>
        </w:tc>
        <w:tc>
          <w:tcPr>
            <w:tcW w:w="854" w:type="pct"/>
            <w:noWrap/>
          </w:tcPr>
          <w:p w14:paraId="649D8BF3"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19" w:type="pct"/>
            <w:noWrap/>
          </w:tcPr>
          <w:p w14:paraId="0B0EC7FE"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3396" w:rsidRPr="00B23396" w14:paraId="7DF92326" w14:textId="77777777" w:rsidTr="00B23396">
        <w:trPr>
          <w:trHeight w:val="539"/>
        </w:trPr>
        <w:tc>
          <w:tcPr>
            <w:cnfStyle w:val="001000000000" w:firstRow="0" w:lastRow="0" w:firstColumn="1" w:lastColumn="0" w:oddVBand="0" w:evenVBand="0" w:oddHBand="0" w:evenHBand="0" w:firstRowFirstColumn="0" w:firstRowLastColumn="0" w:lastRowFirstColumn="0" w:lastRowLastColumn="0"/>
            <w:tcW w:w="983" w:type="pct"/>
            <w:hideMark/>
          </w:tcPr>
          <w:p w14:paraId="13BBC853"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{"citationItems":[{"id":"ITEM-1","itemData":{"DOI":"10.15742/ilrev.v10n3.629","ISSN":"23562129","abstract":"Waqf (Islamic endowment) is considered one of the alternative solutions to environmental problems in Indonesia. One of the examples is through the establishment of a waqf forest, a conservation initiative in the form of developing forests on waqf land. The development of waqf forests needs to pay attention to the legal side in accordance with the laws and regulations of Indonesia. Previous studies discussed the process of legalizing waqf land in Indonesia, but research about the legalization of waqf forest land is still scarce. This study aims to determine the process of legalizing waqf forests on the basis of Indonesian laws and regulations. On the basis of the results of literature studies and expert interviews that were analyzed descriptively, the process of legalizing waqf forest is one of the main tasks of a nazir (waqf manager). The process involves at least three government agencies: the Ministry of Religion, the Ministry of Agrarian Affairs and Spatial Planning (National Land Agency), and the Ministry of Environment and Forestry. The waqf forest legalization process begins with making a waqf pledge deed at the local Office of Religious Affairs, followed by creating a waqf land certificate at the local Land Offices. A crucial step is to clarify that the represented land must be located outside the forest area through a statement from the Ministry of Environment and Forestry. The legalization of waqf forests will guarantee the sustainability of the forest because this process makes waqf forest legal under Islamic law and the law of the Republic of Indonesia.","author":[{"dropping-particle":"","family":"Jannah","given":"Miftahul","non-dropping-particle":"","parse-names":false,"suffix":""},{"dropping-particle":"","family":"Sarkawi","given":"Azila Ahmad","non-dropping-particle":"","parse-names":false,"suffix":""},{"dropping-particle":"","family":"Othman","given":"Jamilah","non-dropping-particle":"","parse-names":false,"suffix":""}],"container-title":"Indonesia Law Review","id":"ITEM-1","issue":"3","issued":{"date-parts":[["2020"]]},"page":"278-293","title":"Legalization of Waqf Forests in Indonesia: The Registration Process","type":"article-journal","volume":"10"},"uris":["http://www.mendeley.com/documents/?uuid=4cc61ebf-d403-42e7-9e19-e9c5c4a04669"]}],"mendeley":{"formattedCitation":"(Jannah et al., 2020)","plainTextFormattedCitation":"(Jannah et al., 2020)","previouslyFormattedCitation":"(Jannah et al., 2020)"},"properties":{"noteIndex":0},"schema":"https://github.com/citation-style-language/schema/raw/master/csl-citation.json"}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(Jannah et al., 2020)</w:t>
            </w:r>
            <w:r w:rsidRPr="00B23396">
              <w:rPr>
                <w:rFonts w:ascii="Calibri" w:hAnsi="Calibri" w:cs="Calibri"/>
              </w:rPr>
              <w:fldChar w:fldCharType="end"/>
            </w:r>
            <w:r w:rsidRPr="00B23396">
              <w:rPr>
                <w:rFonts w:ascii="Calibri" w:hAnsi="Calibri" w:cs="Calibri"/>
              </w:rPr>
              <w:br/>
            </w:r>
          </w:p>
        </w:tc>
        <w:tc>
          <w:tcPr>
            <w:tcW w:w="796" w:type="pct"/>
            <w:noWrap/>
          </w:tcPr>
          <w:p w14:paraId="2600D85E"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63" w:type="pct"/>
            <w:noWrap/>
          </w:tcPr>
          <w:p w14:paraId="09795B2E"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86" w:type="pct"/>
            <w:noWrap/>
          </w:tcPr>
          <w:p w14:paraId="0FAB9CB3"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54" w:type="pct"/>
            <w:noWrap/>
            <w:hideMark/>
          </w:tcPr>
          <w:p w14:paraId="45A74037"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23396">
              <w:rPr>
                <w:rFonts w:ascii="Calibri" w:hAnsi="Calibri" w:cs="Calibri"/>
              </w:rPr>
              <w:t>/</w:t>
            </w:r>
          </w:p>
        </w:tc>
        <w:tc>
          <w:tcPr>
            <w:tcW w:w="719" w:type="pct"/>
            <w:noWrap/>
            <w:hideMark/>
          </w:tcPr>
          <w:p w14:paraId="3C5758DE"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23396" w:rsidRPr="00B23396" w14:paraId="14D56D77" w14:textId="77777777" w:rsidTr="00B23396">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83" w:type="pct"/>
            <w:hideMark/>
          </w:tcPr>
          <w:p w14:paraId="59C6553A"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{"citationItems":[{"id":"ITEM-1","itemData":{"DOI":"10.1108/IJIF-10-2018-0111","ISSN":"22894365","abstract":"Purpose: This study aims to highlight the importance of intellectual capital (IC) for the operation of waqf (Islamic endowment) institutions, as few studies have discussed this issue in relation to non-profit religious organisations, particularly waqf organisations. Consequently, this study hopes to contribute to the development of waqf institutions in terms of human capital proficiency, the efficiency of operations and the effectiveness and sustainability of performance. Design/methodology/approach: The authors reviewed a significant body of relevant studies written on various aspects of IC, to highlight the significance of considering IC in the operation of non-profit organisations (NPOs) and waqf institutions. Findings: This study highlights the importance of IC in the operation of waqf institutions. It provides a platform that facilitates understanding of the existing obstacles and challenges in waqf institutions (such as lack of accountability, lack of funding, mismanagement and lack of trained labour, among others) and offers potential solutions through the consideration of knowledge and IC. Research limitations/implications: This study is a conceptual analysis of IC in the context of NPOs. Future studies should conduct empirical testing, which will provide more detailed discussion and enriching insights into the issue of IC and the performance of NPOs, particularly in the case of waqf institutions. Practical implications: This study provides several important implications for waqf institutions and other NPOs, as it sheds light on the consideration of knowledge and IC in their operations. Originality/value: To the best of the authors’ knowledge, this study is the first to discuss the issues of waqf in the light of IC and provide an integrated framework for the operation of waqf institutions.","author":[{"dropping-particle":"","family":"Laallam","given":"Abdelkader","non-dropping-particle":"","parse-names":false,"suffix":""},{"dropping-particle":"","family":"Kassim","given":"Salina","non-dropping-particle":"","parse-names":false,"suffix":""},{"dropping-particle":"","family":"Engku Ali","given":"Engku Rabiah Adawiah","non-dropping-particle":"","parse-names":false,"suffix":""},{"dropping-particle":"","family":"Saiti","given":"Buerhan","non-dropping-particle":"","parse-names":false,"suffix":""}],"container-title":"ISRA International Journal of Islamic Finance","id":"ITEM-1","issue":"1","issued":{"date-parts":[["2020"]]},"page":"27-48","title":"Intellectual capital in non-profit organisations: lessons learnt for waqf institutions","type":"article-journal","volume":"12"},"uris":["http://www.mendeley.com/documents/?uuid=f8527ea4-cbc7-4b4a-a6d0-95dfd37a0b0b"]}],"mendeley":{"formattedCitation":"(Laallam et al., 2020)","plainTextFormattedCitation":"(Laallam et al., 2020)","previouslyFormattedCitation":"(Laallam et al., 2020)"},"properties":{"noteIndex":0},"schema":"https://github.com/citation-style-language/schema/raw/master/csl-citation.json"}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(Laallam et al., 2020)</w:t>
            </w:r>
            <w:r w:rsidRPr="00B23396">
              <w:rPr>
                <w:rFonts w:ascii="Calibri" w:hAnsi="Calibri" w:cs="Calibri"/>
              </w:rPr>
              <w:fldChar w:fldCharType="end"/>
            </w:r>
            <w:r w:rsidRPr="00B23396">
              <w:rPr>
                <w:rFonts w:ascii="Calibri" w:hAnsi="Calibri" w:cs="Calibri"/>
              </w:rPr>
              <w:br/>
            </w:r>
          </w:p>
        </w:tc>
        <w:tc>
          <w:tcPr>
            <w:tcW w:w="796" w:type="pct"/>
            <w:noWrap/>
          </w:tcPr>
          <w:p w14:paraId="28C0659E"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63" w:type="pct"/>
            <w:noWrap/>
          </w:tcPr>
          <w:p w14:paraId="7807262D"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86" w:type="pct"/>
            <w:noWrap/>
            <w:hideMark/>
          </w:tcPr>
          <w:p w14:paraId="45508D00"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23396">
              <w:rPr>
                <w:rFonts w:ascii="Calibri" w:hAnsi="Calibri" w:cs="Calibri"/>
              </w:rPr>
              <w:t>/</w:t>
            </w:r>
          </w:p>
        </w:tc>
        <w:tc>
          <w:tcPr>
            <w:tcW w:w="854" w:type="pct"/>
            <w:noWrap/>
          </w:tcPr>
          <w:p w14:paraId="3E3E0E32"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19" w:type="pct"/>
            <w:noWrap/>
          </w:tcPr>
          <w:p w14:paraId="6DB35BCB"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3396" w:rsidRPr="00B23396" w14:paraId="08F375CE" w14:textId="77777777" w:rsidTr="00B23396">
        <w:trPr>
          <w:trHeight w:val="569"/>
        </w:trPr>
        <w:tc>
          <w:tcPr>
            <w:cnfStyle w:val="001000000000" w:firstRow="0" w:lastRow="0" w:firstColumn="1" w:lastColumn="0" w:oddVBand="0" w:evenVBand="0" w:oddHBand="0" w:evenHBand="0" w:firstRowFirstColumn="0" w:firstRowLastColumn="0" w:lastRowFirstColumn="0" w:lastRowLastColumn="0"/>
            <w:tcW w:w="983" w:type="pct"/>
            <w:hideMark/>
          </w:tcPr>
          <w:p w14:paraId="5AD5254D"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{"citationItems":[{"id":"ITEM-1","itemData":{"DOI":"10.33736/IJBS.3164.2021","ISSN":"15116670","abstract":"Over the years, Waqf institutions has played an important role in addressing range of socio-economic development of ummah in the world. Waqf has been growing with time and there are increasing expectation surroundings the role of Waqf institutions. Nevertheless, lately the performance of Waqf institutions in Malaysia have cope with issues of inefficiency. According to the literature, inefficiency of Waqf performance is associated with internal factor which is Waqf management. Due to the matter, researchers agreed that Waqf institutions is in need of a holistic Waqf management reform to solve the arise issues. Following the issue, this study investigates the effect of efficient Waqf management determinants on the sustainability of Waqf institutions for long term growth in Malaysia. This study used a quantitative research methodology and a selected sample of 99 respondents in Waqf institutions were analyzed. The results were examined using partial least squares-structured equation modelling (PLS-SEM). This study empirically reveals that the determinants of efficient Waqf management positively influence the sustainability of Waqf institutions for long term growth. The result of this study will enhance the understanding of existing conceptual literature on the important of comprehensive Waqf management determinants in influencing the sustainability of Waqf institutions in Malaysia.","author":[{"dropping-particle":"","family":"Sapuan","given":"Noraina Mazuin","non-dropping-particle":"","parse-names":false,"suffix":""},{"dropping-particle":"","family":"Zeni","given":"Nur Azni Mohd","non-dropping-particle":"","parse-names":false,"suffix":""}],"container-title":"International Journal of Business and Society","id":"ITEM-1","issue":"1","issued":{"date-parts":[["2021"]]},"page":"102-118","title":"The determinants of waqf sustainability in malaysia: A pls-sem analysis","type":"article-journal","volume":"22"},"uris":["http://www.mendeley.com/documents/?uuid=d6110c52-9794-4875-8f45-547967edd71b"]}],"mendeley":{"formattedCitation":"(Sapuan &amp; Zeni, 2021)","plainTextFormattedCitation":"(Sapuan &amp; Zeni, 2021)","previouslyFormattedCitation":"(Sapuan &amp; Zeni, 2021)"},"properties":{"noteIndex":0},"schema":"https://github.com/citation-style-language/schema/raw/master/csl-citation.json"}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(Sapuan &amp; Zeni, 2021)</w:t>
            </w:r>
            <w:r w:rsidRPr="00B23396">
              <w:rPr>
                <w:rFonts w:ascii="Calibri" w:hAnsi="Calibri" w:cs="Calibri"/>
              </w:rPr>
              <w:fldChar w:fldCharType="end"/>
            </w:r>
            <w:r w:rsidRPr="00B23396">
              <w:rPr>
                <w:rFonts w:ascii="Calibri" w:hAnsi="Calibri" w:cs="Calibri"/>
              </w:rPr>
              <w:br/>
            </w:r>
          </w:p>
        </w:tc>
        <w:tc>
          <w:tcPr>
            <w:tcW w:w="796" w:type="pct"/>
            <w:noWrap/>
          </w:tcPr>
          <w:p w14:paraId="3E04E838"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63" w:type="pct"/>
            <w:noWrap/>
          </w:tcPr>
          <w:p w14:paraId="5D4D7FBD"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86" w:type="pct"/>
            <w:noWrap/>
          </w:tcPr>
          <w:p w14:paraId="012A55DF"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54" w:type="pct"/>
            <w:noWrap/>
          </w:tcPr>
          <w:p w14:paraId="502D082E"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19" w:type="pct"/>
            <w:noWrap/>
            <w:hideMark/>
          </w:tcPr>
          <w:p w14:paraId="6A9FA114"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23396">
              <w:rPr>
                <w:rFonts w:ascii="Calibri" w:hAnsi="Calibri" w:cs="Calibri"/>
              </w:rPr>
              <w:t>/</w:t>
            </w:r>
          </w:p>
        </w:tc>
      </w:tr>
      <w:tr w:rsidR="00B23396" w:rsidRPr="00B23396" w14:paraId="182B9D4D" w14:textId="77777777" w:rsidTr="00B2339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83" w:type="pct"/>
            <w:hideMark/>
          </w:tcPr>
          <w:p w14:paraId="7EFB04C6"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{"citationItems":[{"id":"ITEM-1","itemData":{"DOI":"10.21098/jimf.v5i2.1065","ISSN":"24606618","abstract":"A pesantren (Islamic boarding school) as an Islamic educational institution based on self-financing system has implemented waqf as a pillar of its development and become a potential waqf asset development. The productive waqf is considered as a key instrument for providing funds to actualizing its educational program. Since both productive waqf and pesantren emphasize sustainability, and since productive waqf can assist to support the process of education in pesantren, the study aims to investigate an integrated Islamic social and commercial economy model applicable in pesantren. This will ensure utilization of the combined resources of productive waqf and pesantren in promoting pesantren welfare. The study focuses on 263 operational chief, assatidz or teacher, musyrif, musyrifah or santri companion and santri or students in Pesantren in Java and Sumatra using. Structural Equation Modeling (SEM) adopted to examine the relationship among the five constructs i.e., productive waqf, business unit, project financing, human resource and pesantren welfare. While the reliability and validity are established, the structural relationship between the constructs reveals that the integrated model has a strong relationship with the pesantren welfare in many ways. In relation with business unit and profitable commercial activities, human resources have its significant role to assist pesantren tries its level best to realize developed productive waqf. Specifically, the result shows all five constructs have significant impact in promoting pesantren welfare, which suggests that the model as well as the instrument should be further implemented in pesantren.","author":[{"dropping-particle":"","family":"Winarsih","given":"Ratih","non-dropping-particle":"","parse-names":false,"suffix":""},{"dropping-particle":"","family":"Masrifah","given":"Atika Rukminastiti","non-dropping-particle":"","parse-names":false,"suffix":""},{"dropping-particle":"","family":"Umam","given":"Khoirul","non-dropping-particle":"","parse-names":false,"suffix":""}],"container-title":"Journal of Islamic Monetary Economics and Finance","id":"ITEM-1","issue":"2","issued":{"date-parts":[["2019"]]},"page":"321-340","title":"the Integration of Islamic Commercial and Social Economy Through Productive Waqf To Promote Pesantren Welfare","type":"article-journal","volume":"5"},"uris":["http://www.mendeley.com/documents/?uuid=cb8a84d9-8fd2-436a-9146-49c9336aeab1"]}],"mendeley":{"formattedCitation":"(Winarsih et al., 2019)","plainTextFormattedCitation":"(Winarsih et al., 2019)","previouslyFormattedCitation":"(Winarsih et al., 2019)"},"properties":{"noteIndex":0},"schema":"https://github.com/citation-style-language/schema/raw/master/csl-citation.json"}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(Winarsih et al., 2019)</w:t>
            </w:r>
            <w:r w:rsidRPr="00B23396">
              <w:rPr>
                <w:rFonts w:ascii="Calibri" w:hAnsi="Calibri" w:cs="Calibri"/>
              </w:rPr>
              <w:fldChar w:fldCharType="end"/>
            </w:r>
          </w:p>
        </w:tc>
        <w:tc>
          <w:tcPr>
            <w:tcW w:w="796" w:type="pct"/>
            <w:noWrap/>
            <w:hideMark/>
          </w:tcPr>
          <w:p w14:paraId="7EF30ED2"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63" w:type="pct"/>
            <w:noWrap/>
            <w:hideMark/>
          </w:tcPr>
          <w:p w14:paraId="4D8C87E6"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23396">
              <w:rPr>
                <w:rFonts w:ascii="Calibri" w:hAnsi="Calibri" w:cs="Calibri"/>
              </w:rPr>
              <w:t>/</w:t>
            </w:r>
          </w:p>
        </w:tc>
        <w:tc>
          <w:tcPr>
            <w:tcW w:w="786" w:type="pct"/>
            <w:noWrap/>
          </w:tcPr>
          <w:p w14:paraId="234654E7"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54" w:type="pct"/>
            <w:noWrap/>
          </w:tcPr>
          <w:p w14:paraId="5C33ED4B"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19" w:type="pct"/>
            <w:noWrap/>
          </w:tcPr>
          <w:p w14:paraId="4F234C1C"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3396" w:rsidRPr="00B23396" w14:paraId="5D1C61A6" w14:textId="77777777" w:rsidTr="00B23396">
        <w:trPr>
          <w:trHeight w:val="540"/>
        </w:trPr>
        <w:tc>
          <w:tcPr>
            <w:cnfStyle w:val="001000000000" w:firstRow="0" w:lastRow="0" w:firstColumn="1" w:lastColumn="0" w:oddVBand="0" w:evenVBand="0" w:oddHBand="0" w:evenHBand="0" w:firstRowFirstColumn="0" w:firstRowLastColumn="0" w:lastRowFirstColumn="0" w:lastRowLastColumn="0"/>
            <w:tcW w:w="983" w:type="pct"/>
            <w:hideMark/>
          </w:tcPr>
          <w:p w14:paraId="5C3E3F41"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lastRenderedPageBreak/>
              <w:fldChar w:fldCharType="begin" w:fldLock="1"/>
            </w:r>
            <w:r w:rsidRPr="00B23396">
              <w:rPr>
                <w:rFonts w:ascii="Calibri" w:hAnsi="Calibri" w:cs="Calibri"/>
              </w:rPr>
              <w:instrText>ADDIN CSL_CITATION {"citationItems":[{"id":"ITEM-1","itemData":{"DOI":"10.1108/JIABR-05-2016-0054","ISSN":"17590825","abstract":"Purpose: This paper aims to measure the financial sustainability and vulnerability of state-managed waqf institutions in Malaysia. Design/methodology/approach: The study mainly applied the commonly used Tuckman and Chang’s (1991) model to measure the financial health of non-profits. Content and ratio analysis of the 2014 audited reports of seven institutions were used to determine their equity balance, revenue concentration, administrative costs and operating margin ratios. Findings: The results indicate that only one waqf institution was financially sustainable in all the four components. Research limitations/implications: Because the data used are not the latest and focussed only on a single year, the findings may not be necessarily true, currently. Second, the study focussed only on Malaysia. Thus, the results may not be generalisable to other waqfs in other countries or to privately managed waqf institutions. Accordingly, future research should address these limitations. Practical implications: The findings provide useful insights into the financial sustainability of waqf institutions and highlight the need for policymakers in Malaysia and other Muslim countries to give due attention to the holistic accountability of waqf institutions to ensure waqf’s systematic revival. Originality/value: The paper, being the first to investigate the financial sustainability and vulnerability of state waqf institutions in Malaysia, serves as a reference for future researchers.","author":[{"dropping-particle":"","family":"Sulaiman","given":"Maliah","non-dropping-particle":"","parse-names":false,"suffix":""},{"dropping-particle":"","family":"Alhaji Zakari","given":"Muntaka","non-dropping-particle":"","parse-names":false,"suffix":""}],"container-title":"Journal of Islamic Accounting and Business Research","id":"ITEM-1","issue":"2","issued":{"date-parts":[["2019"]]},"page":"236-258","title":"Financial sustainability of state waqf institutions (SWIs) in Malaysia","type":"article-journal","volume":"10"},"uris":["http://www.mendeley.com/documents/?uuid=44f2e40f-c772-44bb-9a6a-acf0ab736894"]}],"mendeley":{"formattedCitation":"(M. Sulaiman &amp; Alhaji Zakari, 2019)","plainTextFormattedCitation":"(M. Sulaiman &amp; Alhaji Zakari, 2019)","previouslyFormattedCitation":"(M. Sulaiman &amp; Alhaji Zakari, 2019)"},"properties":{"noteIndex":0},"schema":"https://github.com/citation-style-language/schema/raw/master/csl-citation.json"}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(M. Sulaiman &amp; Alhaji Zakari, 2019)</w:t>
            </w:r>
            <w:r w:rsidRPr="00B23396">
              <w:rPr>
                <w:rFonts w:ascii="Calibri" w:hAnsi="Calibri" w:cs="Calibri"/>
              </w:rPr>
              <w:fldChar w:fldCharType="end"/>
            </w:r>
          </w:p>
        </w:tc>
        <w:tc>
          <w:tcPr>
            <w:tcW w:w="796" w:type="pct"/>
            <w:noWrap/>
            <w:hideMark/>
          </w:tcPr>
          <w:p w14:paraId="5B0D87DD"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23396">
              <w:rPr>
                <w:rFonts w:ascii="Calibri" w:hAnsi="Calibri" w:cs="Calibri"/>
              </w:rPr>
              <w:t>/</w:t>
            </w:r>
          </w:p>
        </w:tc>
        <w:tc>
          <w:tcPr>
            <w:tcW w:w="863" w:type="pct"/>
            <w:noWrap/>
          </w:tcPr>
          <w:p w14:paraId="31220EAA"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86" w:type="pct"/>
            <w:noWrap/>
          </w:tcPr>
          <w:p w14:paraId="02996062"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54" w:type="pct"/>
            <w:noWrap/>
          </w:tcPr>
          <w:p w14:paraId="51135429"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19" w:type="pct"/>
            <w:noWrap/>
          </w:tcPr>
          <w:p w14:paraId="6D908A73"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23396" w:rsidRPr="00B23396" w14:paraId="0B356DAA" w14:textId="77777777" w:rsidTr="00B23396">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983" w:type="pct"/>
            <w:hideMark/>
          </w:tcPr>
          <w:p w14:paraId="24DB1185"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{"citationItems":[{"id":"ITEM-1","itemData":{"DOI":"10.21043/QIJIS.V8I1.5760","ISSN":"24769304","abstract":"This paper aimed at elaborating Imam Zarkasyi's thought and practices in modernizing the traditional Islamic education called Pesantren. The method employed for this study is descriptive and explanatory research. The data is collected from documents such as books, research article and brochure, and from author observation from time to time. This paper identifies that the educational thought and experiences of Imam Zarkasyi as well as his religious inclination played an important role in his modernization of pesantren. The research also found that Imam Zarkasyi's thought and practices in modernizing Pesantren system started from his serious observation and evaluation as well as his appreciation of traditional pesantren and madrasah system of education. The step taken by Imam Zarkasyi to modernize the education system was by integrating pesantren and madrasah system. In modernizing curriculum Imam Zarkasyi integrated the formal, non-formal and informal education utilizing pesantren environment. Students are taught not only subjects on religion and general sciences in the classroom, but also obtaining morality, mental and job skill education and other values in pesantren tradition within a well-designed informal and non-formal education. Finally, to ensure the sustainability of pesantren Imam Zarkasyi changed the status of Pesantren institution from personal ownership into public property by way Waqf. The thought had been practically implemented successfully in secondary level and now the Waqf Board started to implement the practice at university level.","author":[{"dropping-particle":"","family":"Zarkasyi","given":"Hamid Fahmy","non-dropping-particle":"","parse-names":false,"suffix":""}],"container-title":"Qudus International Journal of Islamic Studies","id":"ITEM-1","issue":"1","issued":{"date-parts":[["2020"]]},"page":"161-200","title":"Imam Zarkasyi's modernization of pesantren in Indonesia: (A case study of darussalam gontor)","type":"article-journal","volume":"8"},"uris":["http://www.mendeley.com/documents/?uuid=4d629c4c-0e57-401a-b6d8-6cb20ae29a25"]}],"mendeley":{"formattedCitation":"(Zarkasyi, 2020)","plainTextFormattedCitation":"(Zarkasyi, 2020)","previouslyFormattedCitation":"(Zarkasyi, 2020)"},"properties":{"noteIndex":0},"schema":"https://github.com/citation-style-language/schema/raw/master/csl-citation.json"}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(Zarkasyi, 2020)</w:t>
            </w:r>
            <w:r w:rsidRPr="00B23396">
              <w:rPr>
                <w:rFonts w:ascii="Calibri" w:hAnsi="Calibri" w:cs="Calibri"/>
              </w:rPr>
              <w:fldChar w:fldCharType="end"/>
            </w:r>
          </w:p>
        </w:tc>
        <w:tc>
          <w:tcPr>
            <w:tcW w:w="796" w:type="pct"/>
            <w:noWrap/>
          </w:tcPr>
          <w:p w14:paraId="033BEA98"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63" w:type="pct"/>
            <w:noWrap/>
          </w:tcPr>
          <w:p w14:paraId="2CA38371"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86" w:type="pct"/>
            <w:noWrap/>
            <w:hideMark/>
          </w:tcPr>
          <w:p w14:paraId="17F63EB4"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23396">
              <w:rPr>
                <w:rFonts w:ascii="Calibri" w:hAnsi="Calibri" w:cs="Calibri"/>
              </w:rPr>
              <w:t>/</w:t>
            </w:r>
          </w:p>
        </w:tc>
        <w:tc>
          <w:tcPr>
            <w:tcW w:w="854" w:type="pct"/>
            <w:noWrap/>
          </w:tcPr>
          <w:p w14:paraId="5CD02FCB"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19" w:type="pct"/>
            <w:noWrap/>
          </w:tcPr>
          <w:p w14:paraId="39C665A0"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3396" w:rsidRPr="00B23396" w14:paraId="23D13B96" w14:textId="77777777" w:rsidTr="00B23396">
        <w:trPr>
          <w:trHeight w:val="414"/>
        </w:trPr>
        <w:tc>
          <w:tcPr>
            <w:cnfStyle w:val="001000000000" w:firstRow="0" w:lastRow="0" w:firstColumn="1" w:lastColumn="0" w:oddVBand="0" w:evenVBand="0" w:oddHBand="0" w:evenHBand="0" w:firstRowFirstColumn="0" w:firstRowLastColumn="0" w:lastRowFirstColumn="0" w:lastRowLastColumn="0"/>
            <w:tcW w:w="983" w:type="pct"/>
            <w:hideMark/>
          </w:tcPr>
          <w:p w14:paraId="1BBCD1A0"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{"citationItems":[{"id":"ITEM-1","itemData":{"DOI":"10.1108/IJIF-02-2018-0019","ISSN":"22894365","abstract":"Purpose: This paper aims to present the viability of unit trust waqf (Islamic endowment) as an alternative asset class for waqf creation. Design/methodology/approach: This paper starts with the conceptual exploration of the literature in the areas of waqf. The sources of the literature cover authentic sources of the Qurʾān and ḥadīth, as well as secondary sources such as books, journal articles and online resources. Findings: This paper provides the conceptual framework of five models of unit trust waqf and their investment management parameters. Originality/value: The novelty of this paper lies in its attempt to highlight the importance of waqf investment strategy in ensuring sustainable returns for waqf. It does so by introducing the conceptual models of unit trust waqf as viable mechanisms to pool more cash waqf from individual investors. The sustainability of the capital waqf assets in the form of unit trusts is maintained through the parameters for its application proposed towards the end of the paper.","author":[{"dropping-particle":"","family":"Sulaiman","given":"Syahnaz","non-dropping-particle":"","parse-names":false,"suffix":""},{"dropping-particle":"","family":"Hasan","given":"Aznan","non-dropping-particle":"","parse-names":false,"suffix":""},{"dropping-particle":"","family":"Mohd Noor","given":"Azman","non-dropping-particle":"","parse-names":false,"suffix":""},{"dropping-particle":"","family":"Ismail","given":"Muhd Issyam","non-dropping-particle":"","parse-names":false,"suffix":""},{"dropping-particle":"","family":"Noordin","given":"Nazrul Hazizi","non-dropping-particle":"","parse-names":false,"suffix":""}],"container-title":"ISRA International Journal of Islamic Finance","id":"ITEM-1","issue":"1","issued":{"date-parts":[["2019"]]},"page":"62-81","title":"Proposed models for unit trust waqf and the parameters for their application","type":"article-journal","volume":"11"},"uris":["http://www.mendeley.com/documents/?uuid=3c76b58f-eb77-45e9-bd17-86816237bc23"]}],"mendeley":{"formattedCitation":"(S. Sulaiman et al., 2019)","plainTextFormattedCitation":"(S. Sulaiman et al., 2019)","previouslyFormattedCitation":"(S. Sulaiman et al., 2019)"},"properties":{"noteIndex":0},"schema":"https://github.com/citation-style-language/schema/raw/master/csl-citation.json"}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(S. Sulaiman et al., 2019)</w:t>
            </w:r>
            <w:r w:rsidRPr="00B23396">
              <w:rPr>
                <w:rFonts w:ascii="Calibri" w:hAnsi="Calibri" w:cs="Calibri"/>
              </w:rPr>
              <w:fldChar w:fldCharType="end"/>
            </w:r>
          </w:p>
        </w:tc>
        <w:tc>
          <w:tcPr>
            <w:tcW w:w="796" w:type="pct"/>
            <w:noWrap/>
            <w:hideMark/>
          </w:tcPr>
          <w:p w14:paraId="35C2A9D0"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23396">
              <w:rPr>
                <w:rFonts w:ascii="Calibri" w:hAnsi="Calibri" w:cs="Calibri"/>
              </w:rPr>
              <w:t>/</w:t>
            </w:r>
          </w:p>
        </w:tc>
        <w:tc>
          <w:tcPr>
            <w:tcW w:w="863" w:type="pct"/>
            <w:noWrap/>
          </w:tcPr>
          <w:p w14:paraId="07F95D5E"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86" w:type="pct"/>
            <w:noWrap/>
          </w:tcPr>
          <w:p w14:paraId="047F9999"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54" w:type="pct"/>
            <w:noWrap/>
          </w:tcPr>
          <w:p w14:paraId="2E3429C5"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19" w:type="pct"/>
            <w:noWrap/>
          </w:tcPr>
          <w:p w14:paraId="22334455"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23396" w:rsidRPr="00B23396" w14:paraId="79CBA408" w14:textId="77777777" w:rsidTr="00B2339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83" w:type="pct"/>
            <w:hideMark/>
          </w:tcPr>
          <w:p w14:paraId="2CE7A0A4"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{"citationItems":[{"id":"ITEM-1","itemData":{"DOI":"10.18510/hssr.2018.6214","ISSN":"23956518","abstract":"Purpose: The general objective of this study is to explore the potential of Islamic Gift Economy in relation to sustainable development at the local level. This paper is therefore, highlights conceptually some preliminary insights on how the Sustainable Development (SD) and the Islamic Economy can be incorporated into a broader sustainability framework involving the three pillars of economic, social and environmental (ESE) sustainability. Methodology: This paper is abouta preliminary conceptual exploration into the meaning, and potential of Islamic Gift Economy in enhancing sustainable development at the local level. Main findings: The central argument of this article revolves around the idea that Islamic Gift Economy with its focus on social justice (‘adl), balance (mizan), and common good (maslahaha’mmah)can be an alternative economic paradigm and development model in this post-capitalist development agenda. Application of the study: This study may be beneficial to policy makers from national to local/community level on how to enhance local/village economy through Islamic Gift Economy. Novelty/Originality of the study: This paper intends to propose an integral framework on the relationship between IGE and sustainable development at the local level. Theoretical and policy implications, and opportunities for future research were also highlighted.","author":[{"dropping-particle":"","family":"Robani","given":"Anidah","non-dropping-particle":"","parse-names":false,"suffix":""},{"dropping-particle":"","family":"Salih","given":"Kamal","non-dropping-particle":"","parse-names":false,"suffix":""}],"container-title":"Humanities and Social Sciences Reviews","id":"ITEM-1","issue":"2","issued":{"date-parts":[["2018"]]},"page":"111-120","title":"Positioning islamic gift economy for sustainable development at the local level","type":"article-journal","volume":"6"},"uris":["http://www.mendeley.com/documents/?uuid=1b8a7862-aa8e-4ff8-94db-6f1a7c1655d3"]}],"mendeley":{"formattedCitation":"(Robani &amp; Salih, 2018)","plainTextFormattedCitation":"(Robani &amp; Salih, 2018)","previouslyFormattedCitation":"(Robani &amp; Salih, 2018)"},"properties":{"noteIndex":0},"schema":"https://github.com/citation-style-language/schema/raw/master/csl-citation.json"}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(Robani &amp; Salih, 2018)</w:t>
            </w:r>
            <w:r w:rsidRPr="00B23396">
              <w:rPr>
                <w:rFonts w:ascii="Calibri" w:hAnsi="Calibri" w:cs="Calibri"/>
              </w:rPr>
              <w:fldChar w:fldCharType="end"/>
            </w:r>
          </w:p>
        </w:tc>
        <w:tc>
          <w:tcPr>
            <w:tcW w:w="796" w:type="pct"/>
            <w:noWrap/>
            <w:hideMark/>
          </w:tcPr>
          <w:p w14:paraId="4D0A816E"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23396">
              <w:rPr>
                <w:rFonts w:ascii="Calibri" w:hAnsi="Calibri" w:cs="Calibri"/>
              </w:rPr>
              <w:t>/</w:t>
            </w:r>
          </w:p>
        </w:tc>
        <w:tc>
          <w:tcPr>
            <w:tcW w:w="863" w:type="pct"/>
            <w:noWrap/>
          </w:tcPr>
          <w:p w14:paraId="2714283D"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86" w:type="pct"/>
            <w:noWrap/>
          </w:tcPr>
          <w:p w14:paraId="4B586661"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54" w:type="pct"/>
            <w:noWrap/>
          </w:tcPr>
          <w:p w14:paraId="195C7640"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19" w:type="pct"/>
            <w:noWrap/>
          </w:tcPr>
          <w:p w14:paraId="0B313504"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3396" w:rsidRPr="00B23396" w14:paraId="04E5CB3B" w14:textId="77777777" w:rsidTr="00B23396">
        <w:trPr>
          <w:trHeight w:val="554"/>
        </w:trPr>
        <w:tc>
          <w:tcPr>
            <w:cnfStyle w:val="001000000000" w:firstRow="0" w:lastRow="0" w:firstColumn="1" w:lastColumn="0" w:oddVBand="0" w:evenVBand="0" w:oddHBand="0" w:evenHBand="0" w:firstRowFirstColumn="0" w:firstRowLastColumn="0" w:lastRowFirstColumn="0" w:lastRowLastColumn="0"/>
            <w:tcW w:w="983" w:type="pct"/>
            <w:hideMark/>
          </w:tcPr>
          <w:p w14:paraId="1460AEFC"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{"citationItems":[{"id":"ITEM-1","itemData":{"DOI":"10.18326/ijims.v8i1.57-86","ISBN":"9788578110796","ISSN":"20711050","abstract":"This paper focuses on the theoretical structure of funding for Islamic philanthropy, especially waqf. Waqa&gt;f is projected to play further significant role to tackle present social problems, where financial sustainability has become one of the foremost challenges faced by awqa&gt;f institutions. There is a need to study various models of fundraising that could be applied to reform awqa&gt;f institutions. Employing content analysis approach, this paper analyses traditional and modern structures of fundraising that are applicable for development and management of waqa&gt;f fundraising: istibda&gt;l, h}ukr, ija&gt;ratayn, venture philanthropy of waqf model (VPWM), value-based capital model of waqf (VBCMW), and social enterprise waqf fund model (SEWF).The discussions are expected to be able to contribute towards boosting a better fundraising management of awqa&gt;f institutions in Muslim communities as well as countries.","author":[{"dropping-particle":"","family":"Shulthoni","given":"Saad and","non-dropping-particle":"","parse-names":false,"suffix":""}],"container-title":"Indonesian Journal of Islam and Muslim Societies","id":"ITEM-1","issue":"1","issued":{"date-parts":[["2018"]]},"number-of-pages":"57-86","title":"Waqf fundraising management: a conceptual comparison between traditional and modern methods in the waqf institutions","type":"book","volume":"8"},"uris":["http://www.mendeley.com/documents/?uuid=b3d89af3-70d3-4858-8d90-3c3409265070"]}],"mendeley":{"formattedCitation":"(Shulthoni, 2018)","manualFormatting":"(Shulthoni &amp; Saad, 2018)","plainTextFormattedCitation":"(Shulthoni, 2018)","previouslyFormattedCitation":"(Shulthoni, 2018)"},"properties":{"noteIndex":0},"schema":"https://github.com/citation-style-language/schema/raw/master/csl-citation.json"}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(Shulthoni &amp; Saad, 2018)</w:t>
            </w:r>
            <w:r w:rsidRPr="00B23396">
              <w:rPr>
                <w:rFonts w:ascii="Calibri" w:hAnsi="Calibri" w:cs="Calibri"/>
              </w:rPr>
              <w:fldChar w:fldCharType="end"/>
            </w:r>
          </w:p>
        </w:tc>
        <w:tc>
          <w:tcPr>
            <w:tcW w:w="796" w:type="pct"/>
            <w:noWrap/>
            <w:hideMark/>
          </w:tcPr>
          <w:p w14:paraId="5C25B88F"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23396">
              <w:rPr>
                <w:rFonts w:ascii="Calibri" w:hAnsi="Calibri" w:cs="Calibri"/>
              </w:rPr>
              <w:t>/</w:t>
            </w:r>
          </w:p>
        </w:tc>
        <w:tc>
          <w:tcPr>
            <w:tcW w:w="863" w:type="pct"/>
            <w:noWrap/>
          </w:tcPr>
          <w:p w14:paraId="2E263CF0"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86" w:type="pct"/>
            <w:noWrap/>
          </w:tcPr>
          <w:p w14:paraId="0BFC87C0"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54" w:type="pct"/>
            <w:noWrap/>
          </w:tcPr>
          <w:p w14:paraId="71F08BF1"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19" w:type="pct"/>
            <w:noWrap/>
          </w:tcPr>
          <w:p w14:paraId="3435896C"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23396" w:rsidRPr="00B23396" w14:paraId="222F1E42" w14:textId="77777777" w:rsidTr="00B2339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83" w:type="pct"/>
            <w:hideMark/>
          </w:tcPr>
          <w:p w14:paraId="7EB2457C"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{"citationItems":[{"id":"ITEM-1","itemData":{"DOI":"10.1108/ijif-07-2017-0013","ISSN":"22894365","abstract":"Purpose: This paper aims to explore the opinions and recommendations of various experts on the integrated cash waqf micro enterprise investment (ICWME-I) model, particularly in terms of its suitability, applicability and prospects in the market. Design/methodology/approach: The research involves primary data which are collected from semi-structured interviews conducted with experts from various backgrounds. Thematic analysis was used to examine the data. Findings: The experts support the suitability of the ICWME-I model in providing financial services to micro enterprises. They highlight the importance of establishing, managing and operating ICWME-I model under the aegis of the State Islamic Religious Council in Malaysia or the corporate sector. They further emphasize that the characteristics of micro enterprises, the element of sustainable funding, the importance of proper management and administration, legal matters and public awareness are key factors that influence the sustainability of the ICWME-I model. Originality/value: This paper adds to the literature on waqf and micro enterprises especially from the Malaysian context. The paper validates the ICWME-I model in terms of its suitability, applicability and prospects in the market by interviewing experts from various backgrounds.","author":[{"dropping-particle":"Bin","family":"Mohd Thas Thaker","given":"Mohamed Asmy","non-dropping-particle":"","parse-names":false,"suffix":""}],"container-title":"ISRA International Journal of Islamic Finance","id":"ITEM-1","issue":"1","issued":{"date-parts":[["2018"]]},"page":"19-35","title":"A qualitative inquiry into cash waqf model as a source of financing for micro enterprises","type":"article-journal","volume":"10"},"uris":["http://www.mendeley.com/documents/?uuid=11235cee-b8af-432c-b76d-e75f2583f044"]}],"mendeley":{"formattedCitation":"(Mohd Thas Thaker, 2018)","plainTextFormattedCitation":"(Mohd Thas Thaker, 2018)","previouslyFormattedCitation":"(Mohd Thas Thaker, 2018)"},"properties":{"noteIndex":0},"schema":"https://github.com/citation-style-language/schema/raw/master/csl-citation.json"}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(Mohd Thas Thaker, 2018)</w:t>
            </w:r>
            <w:r w:rsidRPr="00B23396">
              <w:rPr>
                <w:rFonts w:ascii="Calibri" w:hAnsi="Calibri" w:cs="Calibri"/>
              </w:rPr>
              <w:fldChar w:fldCharType="end"/>
            </w:r>
          </w:p>
        </w:tc>
        <w:tc>
          <w:tcPr>
            <w:tcW w:w="796" w:type="pct"/>
            <w:noWrap/>
            <w:hideMark/>
          </w:tcPr>
          <w:p w14:paraId="1820A8F3"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23396">
              <w:rPr>
                <w:rFonts w:ascii="Calibri" w:hAnsi="Calibri" w:cs="Calibri"/>
              </w:rPr>
              <w:t>/</w:t>
            </w:r>
          </w:p>
        </w:tc>
        <w:tc>
          <w:tcPr>
            <w:tcW w:w="863" w:type="pct"/>
            <w:noWrap/>
          </w:tcPr>
          <w:p w14:paraId="37FE3258"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86" w:type="pct"/>
            <w:noWrap/>
          </w:tcPr>
          <w:p w14:paraId="2DDE190F"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54" w:type="pct"/>
            <w:noWrap/>
          </w:tcPr>
          <w:p w14:paraId="3C742C0A"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19" w:type="pct"/>
            <w:noWrap/>
          </w:tcPr>
          <w:p w14:paraId="4FCA626F"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3396" w:rsidRPr="00B23396" w14:paraId="17875271" w14:textId="77777777" w:rsidTr="00B23396">
        <w:trPr>
          <w:trHeight w:val="470"/>
        </w:trPr>
        <w:tc>
          <w:tcPr>
            <w:cnfStyle w:val="001000000000" w:firstRow="0" w:lastRow="0" w:firstColumn="1" w:lastColumn="0" w:oddVBand="0" w:evenVBand="0" w:oddHBand="0" w:evenHBand="0" w:firstRowFirstColumn="0" w:firstRowLastColumn="0" w:lastRowFirstColumn="0" w:lastRowLastColumn="0"/>
            <w:tcW w:w="983" w:type="pct"/>
            <w:hideMark/>
          </w:tcPr>
          <w:p w14:paraId="04A88CF7"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{"citationItems":[{"id":"ITEM-1","itemData":{"DOI":"10.4197/Islec.31-1.9","ISSN":"16584244","abstract":"Sustainable Awqāf practices and operations of its managing institutions are primarily influenced by the mutawalli's (Awqāf manager's) accountability created in the environment of good governance. The essences of governance, accountability and sustainability are even more central in the Islamic charitable environment like Awqāf as it plays a unique role as a religious and social-based strategic support device to the existing economy. This paper presents empirical evidence on governance disclosure and practices of two separate Malaysian Awqāf institutions with different operational setup (corporatized vs. government platform) by using multiple research techniques comprising interviews and documentation reviews. The findings indicate that essences of governance are observable in both entities. However, huge potential for improvement still remains. Exploiting the different operational setup provides indications of measured responses and indirectly suggests the benefits of running waqf operations on a corporatized platform. The results also provide an appropriate basis for a reality check on the mutawalli's governance disclosure and practices.","author":[{"dropping-particle":"","family":"Awaludin","given":"Nur Suriana","non-dropping-particle":"","parse-names":false,"suffix":""},{"dropping-particle":"","family":"Nahar","given":"Hairul Suhaimi","non-dropping-particle":"","parse-names":false,"suffix":""},{"dropping-particle":"","family":"Yaacob","given":"Hisyam","non-dropping-particle":"","parse-names":false,"suffix":""},{"dropping-particle":"","family":"Bakar","given":"Nor Suhaily","non-dropping-particle":"","parse-names":false,"suffix":""}],"container-title":"Journal of King Abdulaziz University, Islamic Economics","id":"ITEM-1","issue":"1","issued":{"date-parts":[["2018"]]},"page":"139-150","title":"Exploring awqāf governance: Preliminary evidence of governance practices and disclosure of two Malaysian Awqāf institutions","type":"article-journal","volume":"31"},"uris":["http://www.mendeley.com/documents/?uuid=bb398bce-474b-4fbb-b527-628e3aec7d0d"]}],"mendeley":{"formattedCitation":"(Awaludin et al., 2018)","plainTextFormattedCitation":"(Awaludin et al., 2018)","previouslyFormattedCitation":"(Awaludin et al., 2018)"},"properties":{"noteIndex":0},"schema":"https://github.com/citation-style-language/schema/raw/master/csl-citation.json"}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(Awaludin et al., 2018)</w:t>
            </w:r>
            <w:r w:rsidRPr="00B23396">
              <w:rPr>
                <w:rFonts w:ascii="Calibri" w:hAnsi="Calibri" w:cs="Calibri"/>
              </w:rPr>
              <w:fldChar w:fldCharType="end"/>
            </w:r>
          </w:p>
        </w:tc>
        <w:tc>
          <w:tcPr>
            <w:tcW w:w="796" w:type="pct"/>
            <w:noWrap/>
          </w:tcPr>
          <w:p w14:paraId="5134A20B"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63" w:type="pct"/>
            <w:noWrap/>
          </w:tcPr>
          <w:p w14:paraId="6B395051"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86" w:type="pct"/>
            <w:noWrap/>
          </w:tcPr>
          <w:p w14:paraId="10CB28D7"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54" w:type="pct"/>
            <w:noWrap/>
            <w:hideMark/>
          </w:tcPr>
          <w:p w14:paraId="5CEA8BDB"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19" w:type="pct"/>
            <w:noWrap/>
            <w:hideMark/>
          </w:tcPr>
          <w:p w14:paraId="2D0442E7"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23396">
              <w:rPr>
                <w:rFonts w:ascii="Calibri" w:hAnsi="Calibri" w:cs="Calibri"/>
              </w:rPr>
              <w:t>/</w:t>
            </w:r>
          </w:p>
        </w:tc>
      </w:tr>
      <w:tr w:rsidR="00B23396" w:rsidRPr="00B23396" w14:paraId="778F0689" w14:textId="77777777" w:rsidTr="00B23396">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83" w:type="pct"/>
            <w:hideMark/>
          </w:tcPr>
          <w:p w14:paraId="3D726735"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{"citationItems":[{"id":"ITEM-1","itemData":{"DOI":"10.21833/ijaas.2020.11.013","ISSN":"23133724","abstract":"The administration of most private Tahfiz institutions (PTIs) in Malaysia is beset by problems of infrastructure standard, total dependence on government assistance, poor Waqf fund management, public fundraising accountability issues, and financial resource constraints. Therefore, this paper proposes the Conceptual Framework of Sustainable Tahfiz Model (STM), which integrates three main scopes, i.e., Rainwater Harvesting System (RWHS), Renewable Energy Strategies (RES) and Food Subsistence Strategies (FSS). The nexus of such a green approach requires an ecological footprint in producing and consuming food through a series of connections between energy and clean water. Evidently, this is an alternative in maximizing existing resources and at the same time to generate extra income for PTIs in Malaysia to improve their sustainability. This is parallel with the Government policy known as the National Tahfiz Education Policy (DPTN) that aims to achieve a nation-wide sustainable Tahfiz with a good quality of students.","author":[{"dropping-particle":"","family":"Anas","given":"Norazmi","non-dropping-particle":"","parse-names":false,"suffix":""},{"dropping-particle":"","family":"Ahmad","given":"Nur Azfahani","non-dropping-particle":"","parse-names":false,"suffix":""},{"dropping-particle":"","family":"Hussain","given":"Nur Huzeima Mohd","non-dropping-particle":"","parse-names":false,"suffix":""},{"dropping-particle":"","family":"Ahmad","given":"Asmalia Che","non-dropping-particle":"","parse-names":false,"suffix":""},{"dropping-particle":"","family":"Yaacob","given":"Zuriani","non-dropping-particle":"","parse-names":false,"suffix":""}],"container-title":"International Journal of Advanced and Applied Sciences","id":"ITEM-1","issue":"11","issued":{"date-parts":[["2020"]]},"page":"119-124","title":"The nexus of green strategies in ascertaining sustainable private Tahfiz institutions in Malaysia: A proposed model","type":"article-journal","volume":"7"},"uris":["http://www.mendeley.com/documents/?uuid=1a8ec796-372d-495d-a07e-8189aabb38c4"]}],"mendeley":{"formattedCitation":"(Anas et al., 2020)","plainTextFormattedCitation":"(Anas et al., 2020)","previouslyFormattedCitation":"(Anas et al., 2020)"},"properties":{"noteIndex":0},"schema":"https://github.com/citation-style-language/schema/raw/master/csl-citation.json"}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(Anas et al., 2020)</w:t>
            </w:r>
            <w:r w:rsidRPr="00B23396">
              <w:rPr>
                <w:rFonts w:ascii="Calibri" w:hAnsi="Calibri" w:cs="Calibri"/>
              </w:rPr>
              <w:fldChar w:fldCharType="end"/>
            </w:r>
          </w:p>
        </w:tc>
        <w:tc>
          <w:tcPr>
            <w:tcW w:w="796" w:type="pct"/>
            <w:noWrap/>
          </w:tcPr>
          <w:p w14:paraId="68EE31E5"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63" w:type="pct"/>
            <w:noWrap/>
          </w:tcPr>
          <w:p w14:paraId="14FD0FA3"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86" w:type="pct"/>
            <w:noWrap/>
          </w:tcPr>
          <w:p w14:paraId="4B4D93D7"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54" w:type="pct"/>
            <w:noWrap/>
            <w:hideMark/>
          </w:tcPr>
          <w:p w14:paraId="7A2D7EB6"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23396">
              <w:rPr>
                <w:rFonts w:ascii="Calibri" w:hAnsi="Calibri" w:cs="Calibri"/>
              </w:rPr>
              <w:t>/</w:t>
            </w:r>
          </w:p>
        </w:tc>
        <w:tc>
          <w:tcPr>
            <w:tcW w:w="719" w:type="pct"/>
            <w:noWrap/>
            <w:hideMark/>
          </w:tcPr>
          <w:p w14:paraId="3E6303A1"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3396" w:rsidRPr="00B23396" w14:paraId="4500C62F" w14:textId="77777777" w:rsidTr="00B23396">
        <w:trPr>
          <w:trHeight w:val="699"/>
        </w:trPr>
        <w:tc>
          <w:tcPr>
            <w:cnfStyle w:val="001000000000" w:firstRow="0" w:lastRow="0" w:firstColumn="1" w:lastColumn="0" w:oddVBand="0" w:evenVBand="0" w:oddHBand="0" w:evenHBand="0" w:firstRowFirstColumn="0" w:firstRowLastColumn="0" w:lastRowFirstColumn="0" w:lastRowLastColumn="0"/>
            <w:tcW w:w="983" w:type="pct"/>
            <w:hideMark/>
          </w:tcPr>
          <w:p w14:paraId="44FAA7CF" w14:textId="77777777" w:rsidR="00B23396" w:rsidRPr="00B23396" w:rsidRDefault="00B23396" w:rsidP="005B49F1">
            <w:pPr>
              <w:spacing w:after="0" w:line="240" w:lineRule="auto"/>
              <w:jc w:val="center"/>
              <w:rPr>
                <w:rFonts w:ascii="Calibri" w:hAnsi="Calibri" w:cs="Calibri"/>
                <w:b w:val="0"/>
                <w:bCs w:val="0"/>
              </w:rPr>
            </w:pPr>
            <w:r w:rsidRPr="00B23396">
              <w:rPr>
                <w:rFonts w:ascii="Calibri" w:hAnsi="Calibri" w:cs="Calibri"/>
                <w:noProof/>
              </w:rPr>
              <w:fldChar w:fldCharType="begin" w:fldLock="1"/>
            </w:r>
            <w:r w:rsidRPr="00B23396">
              <w:rPr>
                <w:rFonts w:ascii="Calibri" w:hAnsi="Calibri" w:cs="Calibri"/>
                <w:noProof/>
              </w:rPr>
              <w:instrText>ADDIN CSL_CITATION {"citationItems":[{"id":"ITEM-1","itemData":{"DOI":"10.25115/eea.v39i10.5569","author":[{"dropping-particle":"","family":"Ibrahim","given":"Siti Sara","non-dropping-particle":"","parse-names":false,"suffix":""},{"dropping-particle":"","family":"Daud","given":"Dalila","non-dropping-particle":"","parse-names":false,"suffix":""},{"dropping-particle":"","family":"Zainal","given":"N","non-dropping-particle":"","parse-names":false,"suffix":""},{"dropping-particle":"","family":"Noor","given":"A H Mohd","non-dropping-particle":"","parse-names":false,"suffix":""},{"dropping-particle":"","family":"Beik","given":"I","non-dropping-particle":"","parse-names":false,"suffix":""}],"container-title":"Studies of Applied Economics","id":"ITEM-1","issued":{"date-parts":[["2021"]]},"title":"Urgency in Waqf-Microfinance Project Collaboration for Socioeconomic Growth and the Mediating Effect of Sustainability Using PLS-SEM Analysis","type":"article-journal"},"uris":["http://www.mendeley.com/documents/?uuid=9de59806-d73b-46ac-8e5c-9e419c5d0a49"]}],"mendeley":{"formattedCitation":"(Ibrahim et al., 2021)","plainTextFormattedCitation":"(Ibrahim et al., 2021)","previouslyFormattedCitation":"(Ibrahim et al., 2021)"},"properties":{"noteIndex":0},"schema":"https://github.com/citation-style-language/schema/raw/master/csl-citation.json"}</w:instrText>
            </w:r>
            <w:r w:rsidRPr="00B23396">
              <w:rPr>
                <w:rFonts w:ascii="Calibri" w:hAnsi="Calibri" w:cs="Calibri"/>
                <w:noProof/>
              </w:rPr>
              <w:fldChar w:fldCharType="separate"/>
            </w:r>
            <w:r w:rsidRPr="00B23396">
              <w:rPr>
                <w:rFonts w:ascii="Calibri" w:hAnsi="Calibri" w:cs="Calibri"/>
                <w:noProof/>
              </w:rPr>
              <w:t>(Ibrahim et al., 2021)</w:t>
            </w:r>
            <w:r w:rsidRPr="00B23396">
              <w:rPr>
                <w:rFonts w:ascii="Calibri" w:hAnsi="Calibri" w:cs="Calibri"/>
                <w:noProof/>
              </w:rPr>
              <w:fldChar w:fldCharType="end"/>
            </w:r>
          </w:p>
        </w:tc>
        <w:tc>
          <w:tcPr>
            <w:tcW w:w="796" w:type="pct"/>
            <w:noWrap/>
            <w:hideMark/>
          </w:tcPr>
          <w:p w14:paraId="5F049BB8"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23396">
              <w:rPr>
                <w:rFonts w:ascii="Calibri" w:hAnsi="Calibri" w:cs="Calibri"/>
              </w:rPr>
              <w:t>/</w:t>
            </w:r>
          </w:p>
        </w:tc>
        <w:tc>
          <w:tcPr>
            <w:tcW w:w="863" w:type="pct"/>
            <w:noWrap/>
          </w:tcPr>
          <w:p w14:paraId="4ED6D4C8"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86" w:type="pct"/>
            <w:noWrap/>
          </w:tcPr>
          <w:p w14:paraId="22ADEEED"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54" w:type="pct"/>
            <w:noWrap/>
          </w:tcPr>
          <w:p w14:paraId="05B3ADA7"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19" w:type="pct"/>
            <w:noWrap/>
          </w:tcPr>
          <w:p w14:paraId="591991F2"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23396" w:rsidRPr="00B23396" w14:paraId="285629EE" w14:textId="77777777" w:rsidTr="00B23396">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983" w:type="pct"/>
            <w:hideMark/>
          </w:tcPr>
          <w:p w14:paraId="49BFC7AC"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{"citationItems":[{"id":"ITEM-1","itemData":{"DOI":"10.18860/jia.v7i1.15310","ISSN":"23564644","abstract":"The number of urban settlements in Indonesia continues to grow, while the paucity of communal space in urban areas persists. Therefore, it is vital to support local potential to achieve long-term success. Waqf generosity is one form of social development that has been institutionalized in society. Waqf, or benevolent generosity in surrendering personal possessions for the public good, is carried out by almost the entire Muslim community worshiping Allah SWT. This research aims to uncover the role of waqf in the formation of public spaces from a long-term perspective. This study employs a case study method to comprehend the real life of the waqf spatial entity in the urban village. The research location is Tugurejo Village, Tugu District, Semarang City. The study deviates from the grand theory to investigate the events at the study site. Interview, observation, and secondary data are used to acquire data; descriptive methods are used to analyze the data, and the research findings are fed back into the grand theory. The research found that sustaining communal ownership rights and productivity advantages between generations ensures the sustainability of waqf as a communal space, resulting in a sustainable community structure.","author":[{"dropping-particle":"","family":"Rochani","given":"Agus","non-dropping-particle":"","parse-names":false,"suffix":""},{"dropping-particle":"","family":"Yuliastuti","given":"Nany","non-dropping-particle":"","parse-names":false,"suffix":""},{"dropping-particle":"","family":"Sudarwanto","given":"Budi","non-dropping-particle":"","parse-names":false,"suffix":""}],"container-title":"Journal of Islamic Architecture","id":"ITEM-1","issue":"1","issued":{"date-parts":[["2022"]]},"page":"57-66","title":"the Existence of Waqf in Establishing a Sustainable Communal Space","type":"article-journal","volume":"7"},"uris":["http://www.mendeley.com/documents/?uuid=bda91d45-9422-4339-8b9a-5849d28b2ee3"]}],"mendeley":{"formattedCitation":"(Rochani et al., 2022)","plainTextFormattedCitation":"(Rochani et al., 2022)","previouslyFormattedCitation":"(Rochani et al., 2022)"},"properties":{"noteIndex":0},"schema":"https://github.com/citation-style-language/schema/raw/master/csl-citation.json"}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(Rochani et al., 2022)</w:t>
            </w:r>
            <w:r w:rsidRPr="00B23396">
              <w:rPr>
                <w:rFonts w:ascii="Calibri" w:hAnsi="Calibri" w:cs="Calibri"/>
              </w:rPr>
              <w:fldChar w:fldCharType="end"/>
            </w:r>
          </w:p>
        </w:tc>
        <w:tc>
          <w:tcPr>
            <w:tcW w:w="796" w:type="pct"/>
            <w:noWrap/>
            <w:hideMark/>
          </w:tcPr>
          <w:p w14:paraId="5D5C0014"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63" w:type="pct"/>
            <w:noWrap/>
            <w:hideMark/>
          </w:tcPr>
          <w:p w14:paraId="2D7BDD01"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23396">
              <w:rPr>
                <w:rFonts w:ascii="Calibri" w:hAnsi="Calibri" w:cs="Calibri"/>
              </w:rPr>
              <w:t>/</w:t>
            </w:r>
          </w:p>
        </w:tc>
        <w:tc>
          <w:tcPr>
            <w:tcW w:w="786" w:type="pct"/>
            <w:noWrap/>
          </w:tcPr>
          <w:p w14:paraId="03DA2BC2"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54" w:type="pct"/>
            <w:noWrap/>
          </w:tcPr>
          <w:p w14:paraId="63CD7463"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19" w:type="pct"/>
            <w:noWrap/>
          </w:tcPr>
          <w:p w14:paraId="5BF6DBAC"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3396" w:rsidRPr="00B23396" w14:paraId="07FA73A5" w14:textId="77777777" w:rsidTr="00B23396">
        <w:trPr>
          <w:trHeight w:val="699"/>
        </w:trPr>
        <w:tc>
          <w:tcPr>
            <w:cnfStyle w:val="001000000000" w:firstRow="0" w:lastRow="0" w:firstColumn="1" w:lastColumn="0" w:oddVBand="0" w:evenVBand="0" w:oddHBand="0" w:evenHBand="0" w:firstRowFirstColumn="0" w:firstRowLastColumn="0" w:lastRowFirstColumn="0" w:lastRowLastColumn="0"/>
            <w:tcW w:w="983" w:type="pct"/>
            <w:hideMark/>
          </w:tcPr>
          <w:p w14:paraId="0C935E24"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{"citationItems":[{"id":"ITEM-1","itemData":{"DOI":"10.36941/ajis-2022-0129","ISSN":"22814612","abstract":"The development of corporate waqf in Indonesia is relevant in creating an alternative model for the sustainability of waqf benefits and contributing to the national economic growth. This study aims to explore the implementation of Corporate Waqf Core Principles (CWCP), a set of sharia principles for corporate waqf implemented in the growth of waqf in Indonesia. This study uses qualitative research with a specific focus on comparative analysis of the advantages of waqf management at two different institutions that develop corporate waqf, Waqf Board Foundation of Universitas Islam Indonesia (YBW UII) Yogyakarta and Pesantren Tebuireng in Jombang. YBW UII Yogyakarta has developed productive waqf assets and immovable objects through professional and profitable multi-company institutions, ensuring that the waqf’s results expand and the benefits fly. Pesantren Tebuireng, on the other hand, understands the implementation of CWCP in the framework of productive waqf administration and management by conceptualizing the productivity of waqf assets through corporate and institutional management. The two models of waqf management methods ensure that waqf management within the corporate institutional framework is more productive and produces long-term outcomes and benefits. However, there are certain deviations in the implementation of the CWCP which has not used shares as waqf assets. The development of this waqf model in Indonesia can accelerate community economic development.","author":[{"dropping-particle":"","family":"Huda","given":"Miftahul","non-dropping-particle":"","parse-names":false,"suffix":""},{"dropping-particle":"","family":"Santoso","given":"Lukman","non-dropping-particle":"","parse-names":false,"suffix":""}],"container-title":"Academic Journal of Interdisciplinary Studies","id":"ITEM-1","issue":"5","issued":{"date-parts":[["2022"]]},"page":"114-124","title":"Implementation of Corporate Waqf Core Principles in the Development of Waqf in Indonesia","type":"article-journal","volume":"11"},"uris":["http://www.mendeley.com/documents/?uuid=f14ec3b6-6c58-4ea1-85f3-3754f3d631ee"]}],"mendeley":{"formattedCitation":"(Huda &amp; Santoso, 2022)","plainTextFormattedCitation":"(Huda &amp; Santoso, 2022)","previouslyFormattedCitation":"(Huda &amp; Santoso, 2022)"},"properties":{"noteIndex":0},"schema":"https://github.com/citation-style-language/schema/raw/master/csl-citation.json"}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(Huda &amp; Santoso, 2022)</w:t>
            </w:r>
            <w:r w:rsidRPr="00B23396">
              <w:rPr>
                <w:rFonts w:ascii="Calibri" w:hAnsi="Calibri" w:cs="Calibri"/>
              </w:rPr>
              <w:fldChar w:fldCharType="end"/>
            </w:r>
          </w:p>
        </w:tc>
        <w:tc>
          <w:tcPr>
            <w:tcW w:w="796" w:type="pct"/>
            <w:noWrap/>
          </w:tcPr>
          <w:p w14:paraId="0C8F33EB"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63" w:type="pct"/>
            <w:noWrap/>
          </w:tcPr>
          <w:p w14:paraId="6CC7719F"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86" w:type="pct"/>
            <w:noWrap/>
          </w:tcPr>
          <w:p w14:paraId="3A5EC3E4"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54" w:type="pct"/>
            <w:noWrap/>
          </w:tcPr>
          <w:p w14:paraId="608DE7A7"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19" w:type="pct"/>
            <w:noWrap/>
            <w:hideMark/>
          </w:tcPr>
          <w:p w14:paraId="3EFCEC1A"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23396">
              <w:rPr>
                <w:rFonts w:ascii="Calibri" w:hAnsi="Calibri" w:cs="Calibri"/>
              </w:rPr>
              <w:t>/</w:t>
            </w:r>
          </w:p>
        </w:tc>
      </w:tr>
      <w:tr w:rsidR="00B23396" w:rsidRPr="00B23396" w14:paraId="41618BA5" w14:textId="77777777" w:rsidTr="00B23396">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83" w:type="pct"/>
            <w:hideMark/>
          </w:tcPr>
          <w:p w14:paraId="2E333E62"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{"citationItems":[{"id":"ITEM-1","itemData":{"DOI":"10.7226/jtfm.30.1.30","ISSN":"20892063","abstract":"Waqf-based forests can conserve the forest ecosystem by applying waqf principles. This initiative has been implemented in several places in Indonesia. The limited funds available for waqf-based forest development require nazhir to carefully choose the best location so that the asset can function optimally. However, no specific research has been conducted to guide the selection of the best location for this purpose. This study aimed to identify potential criteria to help determine the best site for developing a waqf-based forest. Several methods were used to collect the necessary data, including literature reviews, in-depth interviews, field observations, and focus group discussions. This study identifies four crucial criteria when selecting the best locations: a) legal, b) physical and biophysical, c) high conservation value and benefits, and d) management. In addition, each criterion has sub-criteria. Among all, legal issues receive the highest highlight as unresolved regulations can affect a forest's ownership and function. This study was the first to discuss these criteria. Future research should quantify the criteria suggested using GIS and conduct more field observations in existing waqf-based forests in Indonesia.","author":[{"dropping-particle":"","family":"Jannah","given":"Miftahul","non-dropping-particle":"","parse-names":false,"suffix":""},{"dropping-particle":"","family":"Sarkawi","given":"Azila Ahmad","non-dropping-particle":"","parse-names":false,"suffix":""},{"dropping-particle":"","family":"Othman","given":"Jamilah","non-dropping-particle":"","parse-names":false,"suffix":""}],"container-title":"Jurnal Manajemen Hutan Tropika","id":"ITEM-1","issue":"1","issued":{"date-parts":[["2024"]]},"page":"30-39","title":"Potential Criteria to Determine a Waqf-Based Forest Location Case Study: Bogor Waqf Forest, Bogor, Indonesia","type":"article-journal","volume":"30"},"uris":["http://www.mendeley.com/documents/?uuid=e4295844-449c-492e-9220-859b5a0cc554"]}],"mendeley":{"formattedCitation":"(Jannah et al., 2024)","plainTextFormattedCitation":"(Jannah et al., 2024)","previouslyFormattedCitation":"(Jannah et al., 2024)"},"properties":{"noteIndex":0},"schema":"https://github.com/citation-style-language/schema/raw/master/csl-citation.json"}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(Jannah et al., 2024)</w:t>
            </w:r>
            <w:r w:rsidRPr="00B23396">
              <w:rPr>
                <w:rFonts w:ascii="Calibri" w:hAnsi="Calibri" w:cs="Calibri"/>
              </w:rPr>
              <w:fldChar w:fldCharType="end"/>
            </w:r>
          </w:p>
        </w:tc>
        <w:tc>
          <w:tcPr>
            <w:tcW w:w="796" w:type="pct"/>
            <w:noWrap/>
          </w:tcPr>
          <w:p w14:paraId="7EED0D57"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63" w:type="pct"/>
            <w:noWrap/>
          </w:tcPr>
          <w:p w14:paraId="6725B757"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86" w:type="pct"/>
            <w:noWrap/>
          </w:tcPr>
          <w:p w14:paraId="2CF784CF"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54" w:type="pct"/>
            <w:noWrap/>
            <w:hideMark/>
          </w:tcPr>
          <w:p w14:paraId="2EAECADF"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23396">
              <w:rPr>
                <w:rFonts w:ascii="Calibri" w:hAnsi="Calibri" w:cs="Calibri"/>
              </w:rPr>
              <w:t>/</w:t>
            </w:r>
          </w:p>
        </w:tc>
        <w:tc>
          <w:tcPr>
            <w:tcW w:w="719" w:type="pct"/>
            <w:noWrap/>
            <w:hideMark/>
          </w:tcPr>
          <w:p w14:paraId="02A9A668"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3396" w:rsidRPr="00B23396" w14:paraId="67C37D04" w14:textId="77777777" w:rsidTr="00B23396">
        <w:trPr>
          <w:trHeight w:val="453"/>
        </w:trPr>
        <w:tc>
          <w:tcPr>
            <w:cnfStyle w:val="001000000000" w:firstRow="0" w:lastRow="0" w:firstColumn="1" w:lastColumn="0" w:oddVBand="0" w:evenVBand="0" w:oddHBand="0" w:evenHBand="0" w:firstRowFirstColumn="0" w:firstRowLastColumn="0" w:lastRowFirstColumn="0" w:lastRowLastColumn="0"/>
            <w:tcW w:w="983" w:type="pct"/>
            <w:hideMark/>
          </w:tcPr>
          <w:p w14:paraId="563704B2"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10.18326/ijtihad.v23i1.93-114","author":[{"dropping-particle":"","family":"Zawawi","given":"Zawawi","non-dropping-particle":"","parse-names":false,"suffix":""},{"dropping-particle":"","family":"Yasin","given":"Yulismulianti","non-dropping-particle":"","parse-names":false,"suffix":""},{"dropping-particle":"","family":"Helmy","given":"M","non-dropping-particle":"","parse-names":false,"suffix":""},{"dropping-particle":"","family":"Ma’yuf","given":"Ali","non-dropping-particle":"","parse-names":false,"suffix":""},{"dropping-particle":"","family":"Arwani","given":"Agus","non-dropping-particle":"","parse-names":false,"suffix":""}],"container-title":"Ijtihad : Jurnal Wacana Hukum Islam dan Kemanusiaan","id":"ITEM-1","issued":{"date-parts":[["2023"]]},"title":"Waqf and sustainable development law: models of waqf institutions in the Kingdom of Saudi Arabia and Indonesia","type":"article-journal"},"uris":["http://www.mendeley.com/documents/?uuid=8c7e85c1-4c9e-43a6-abfd-5adf13935f79"]}],"mendeley":{"formattedCitation":"(Zawawi et al., 2023)","plainTextFormattedCitation":"(Zawawi et al., 2023)","previouslyFormattedCitation":"(Zawawi et al., 2023)"},"properties":{"noteIndex":0},"schema":"https://github.com/citation-style-language/schema/raw/master/csl-citation.json"}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(Zawawi et al., 2023)</w:t>
            </w:r>
            <w:r w:rsidRPr="00B23396">
              <w:rPr>
                <w:rFonts w:ascii="Calibri" w:hAnsi="Calibri" w:cs="Calibri"/>
              </w:rPr>
              <w:fldChar w:fldCharType="end"/>
            </w:r>
          </w:p>
        </w:tc>
        <w:tc>
          <w:tcPr>
            <w:tcW w:w="796" w:type="pct"/>
            <w:noWrap/>
          </w:tcPr>
          <w:p w14:paraId="17BC03A6"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63" w:type="pct"/>
            <w:noWrap/>
          </w:tcPr>
          <w:p w14:paraId="22E4A8C2"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86" w:type="pct"/>
            <w:noWrap/>
          </w:tcPr>
          <w:p w14:paraId="392AEFD2"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54" w:type="pct"/>
            <w:noWrap/>
          </w:tcPr>
          <w:p w14:paraId="3F3F20DC"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19" w:type="pct"/>
            <w:noWrap/>
            <w:hideMark/>
          </w:tcPr>
          <w:p w14:paraId="73DC5C07"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23396">
              <w:rPr>
                <w:rFonts w:ascii="Calibri" w:hAnsi="Calibri" w:cs="Calibri"/>
              </w:rPr>
              <w:t>/</w:t>
            </w:r>
          </w:p>
        </w:tc>
      </w:tr>
      <w:tr w:rsidR="00B23396" w:rsidRPr="00B23396" w14:paraId="5F85D6E4" w14:textId="77777777" w:rsidTr="00B2339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83" w:type="pct"/>
            <w:hideMark/>
          </w:tcPr>
          <w:p w14:paraId="519FE1B0"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{"citationItems":[{"id":"ITEM-1","itemData":{"DOI":"10.33102/mjsl.vol11no2.422","ISSN":"25904396","abstract":"Cash waqf is a form of contemporary waqf that has great potential in the modern world. In Indonesia, despite its potential of 180 trillion per year, cash waqf collection, management, and distribution are not optimal. Nonetheless, the infrastructure sector in Indonesia faces obstacles, particularly in terms of funding. The innovation of the CWLFRA (Cash Waqf Linked DINFRA) model is, therefore, a solution to these two issues, as the proposed model is the result of an integration between efforts to optimize cash waqf and infrastructure financing via the Infrastructure Investment Fund (DINFRA). In this CWLFRA innovation, waqf funds will be allocated to the mauquf 'alaih from the profits of infrastructure investment funds, which will become a source of long-term usable assets. As a result, the purpose of this academic paper is to develop a model capable of bolstering the ecosystem of Islamic social financial institutions and maximizing the potential achievement of cash waqf in Indonesia as a means of implementing sustainable finance and an effective instrument in reviving national economy through infrastructure development. In addition, this study seeks to determine the viability of the potential for developing the productivity of cash waqf in an effort to increase the effectiveness of achieving cash waqf to support economic sustainability with infrastructure potential. Nine respondents representing academicians and expert practitioners from both the waqf and infrastructure sectors filled out questionnaires to collect data. According to the results of the Delphi test, all respondents believed that there was a relationship between the Strengths, Weaknesses, Opportunities and Threats (SWOT) indicators, indicating that this model is implementable. Moreover, based on the level of agreement of respondents, this model has the potential to contribute positively to national economic recovery, become a sustainable source of social funds, optimize the potential of waqf in Indonesia, strengthen the ecosystem of waqf social finance institutions, and improve the quality of management and maintenance of Indonesia's infrastructure. These findings demonstrate that integrating financial waqf with existing public infrastructure could positively affect the sustainability of national economic development. The novel aspect of this paper is the proposed cash waqf management system, which can serve as a useful reference for policymakers and waqf institutions seeking to develop a m…","author":[{"dropping-particle":"","family":"Wijaya","given":"Rusdiana Priatna","non-dropping-particle":"","parse-names":false,"suffix":""}],"container-title":"Malaysian Journal of Syariah and Law","id":"ITEM-1","issue":"2","issued":{"date-parts":[["2023"]]},"page":"330-343","title":"Cash Waqf Linked Dinfra (Cwl-Fra) As Waqf Innovation Model Integrated With Infrastructure Instrument for National Economic Recovery and Sustainability","type":"article-journal","volume":"11"},"uris":["http://www.mendeley.com/documents/?uuid=d6da7b83-9f70-48bb-9f52-ba1e59e22d8e"]}],"mendeley":{"formattedCitation":"(Wijaya, 2023)","plainTextFormattedCitation":"(Wijaya, 2023)","previouslyFormattedCitation":"(Wijaya, 2023)"},"properties":{"noteIndex":0},"schema":"https://github.com/citation-style-language/schema/raw/master/csl-citation.json"}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(Wijaya, 2023)</w:t>
            </w:r>
            <w:r w:rsidRPr="00B23396">
              <w:rPr>
                <w:rFonts w:ascii="Calibri" w:hAnsi="Calibri" w:cs="Calibri"/>
              </w:rPr>
              <w:fldChar w:fldCharType="end"/>
            </w:r>
          </w:p>
        </w:tc>
        <w:tc>
          <w:tcPr>
            <w:tcW w:w="796" w:type="pct"/>
            <w:noWrap/>
          </w:tcPr>
          <w:p w14:paraId="7DA1F19A"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63" w:type="pct"/>
            <w:noWrap/>
          </w:tcPr>
          <w:p w14:paraId="48BEAAE3"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86" w:type="pct"/>
            <w:noWrap/>
            <w:hideMark/>
          </w:tcPr>
          <w:p w14:paraId="55AEAFBD"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23396">
              <w:rPr>
                <w:rFonts w:ascii="Calibri" w:hAnsi="Calibri" w:cs="Calibri"/>
              </w:rPr>
              <w:t>/</w:t>
            </w:r>
          </w:p>
        </w:tc>
        <w:tc>
          <w:tcPr>
            <w:tcW w:w="854" w:type="pct"/>
            <w:noWrap/>
          </w:tcPr>
          <w:p w14:paraId="2998C75E"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19" w:type="pct"/>
            <w:noWrap/>
          </w:tcPr>
          <w:p w14:paraId="65253597"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3396" w:rsidRPr="00B23396" w14:paraId="425B045F" w14:textId="77777777" w:rsidTr="00B23396">
        <w:trPr>
          <w:trHeight w:val="439"/>
        </w:trPr>
        <w:tc>
          <w:tcPr>
            <w:cnfStyle w:val="001000000000" w:firstRow="0" w:lastRow="0" w:firstColumn="1" w:lastColumn="0" w:oddVBand="0" w:evenVBand="0" w:oddHBand="0" w:evenHBand="0" w:firstRowFirstColumn="0" w:firstRowLastColumn="0" w:lastRowFirstColumn="0" w:lastRowLastColumn="0"/>
            <w:tcW w:w="983" w:type="pct"/>
            <w:hideMark/>
          </w:tcPr>
          <w:p w14:paraId="2C91DE64"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{"citationItems":[{"id":"ITEM-1","itemData":{"DOI":"10.3390/heritage6120394","ISSN":"25719408","abstract":"The use of structured query formulation languages is a method for gaining access to data in information management systems. Writing structured queries is a powerful method of data retrieval, and end users can generate complex database queries by becoming proficient in a particular query language. Digitization of database information systems, history and endowment, and technology conservation are some examples of database conservation techniques in the process of displaying data that require optimal query techniques. Historical and endowment properties comply with a certain set of laws governing waqf recipients, which sets them apart from heritage and cultural assets. Trusted property typically comprises real estate, valuables, or both and has an infinite preservation term so long as it may still be put to use. A solid information technology infrastructure is essential for ensuring comprehensive data security. Given the availability of knowledge and the quick development of information technology, ensuring its sustainability is a challenge. This research is aimed at preserving historical and waqf databases based on the case study of the Kingdom of Sumedang Larang (KSL), Indonesia, through examination of the database, synchronization of digital data with physical data, as well as looking at its relationship with organizations and management. The proposed method, namely the Design and Analysis of Database Query Model for Preservation Information System (DAQMP), creates a recurring query model from the original tabular data placed in the next table as a special table check for data specifications containing important data. The results must be accurately aligned between digital and physical records regularly to serve as a record of any changes and as evidence to determine whether data has been corrupted, altered, or lost.","author":[{"dropping-particle":"","family":"Sudrajat","given":"Raden","non-dropping-particle":"","parse-names":false,"suffix":""},{"dropping-particle":"","family":"Ruchjana","given":"Budi Nurani","non-dropping-particle":"","parse-names":false,"suffix":""},{"dropping-particle":"","family":"Abdullah","given":"Atje Setiawan","non-dropping-particle":"","parse-names":false,"suffix":""},{"dropping-particle":"","family":"Budiarto","given":"Rahmat","non-dropping-particle":"","parse-names":false,"suffix":""}],"container-title":"Heritage","id":"ITEM-1","issue":"12","issued":{"date-parts":[["2023"]]},"page":"7508-7530","title":"Query Model Framework Design for Conservation History and Endowments Database: A Case Study on the Digitization of the Sumedang Larang Kingdom’s History and Endowments in Indonesia","type":"article-journal","volume":"6"},"uris":["http://www.mendeley.com/documents/?uuid=600212e3-35e3-4156-a9fd-2840c1625a7b"]}],"mendeley":{"formattedCitation":"(Sudrajat et al., 2023)","plainTextFormattedCitation":"(Sudrajat et al., 2023)","previouslyFormattedCitation":"(Sudrajat et al., 2023)"},"properties":{"noteIndex":0},"schema":"https://github.com/citation-style-language/schema/raw/master/csl-citation.json"}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(Sudrajat et al., 2023)</w:t>
            </w:r>
            <w:r w:rsidRPr="00B23396">
              <w:rPr>
                <w:rFonts w:ascii="Calibri" w:hAnsi="Calibri" w:cs="Calibri"/>
              </w:rPr>
              <w:fldChar w:fldCharType="end"/>
            </w:r>
          </w:p>
        </w:tc>
        <w:tc>
          <w:tcPr>
            <w:tcW w:w="796" w:type="pct"/>
            <w:noWrap/>
          </w:tcPr>
          <w:p w14:paraId="730D7BF1"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63" w:type="pct"/>
            <w:noWrap/>
          </w:tcPr>
          <w:p w14:paraId="6758AFAE"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86" w:type="pct"/>
            <w:noWrap/>
            <w:hideMark/>
          </w:tcPr>
          <w:p w14:paraId="50588C0A"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23396">
              <w:rPr>
                <w:rFonts w:ascii="Calibri" w:hAnsi="Calibri" w:cs="Calibri"/>
              </w:rPr>
              <w:t>/</w:t>
            </w:r>
          </w:p>
        </w:tc>
        <w:tc>
          <w:tcPr>
            <w:tcW w:w="854" w:type="pct"/>
            <w:noWrap/>
          </w:tcPr>
          <w:p w14:paraId="70012FB3"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19" w:type="pct"/>
            <w:noWrap/>
          </w:tcPr>
          <w:p w14:paraId="788FDE95"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23396" w:rsidRPr="00B23396" w14:paraId="6B70353A" w14:textId="77777777" w:rsidTr="00B23396">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83" w:type="pct"/>
            <w:hideMark/>
          </w:tcPr>
          <w:p w14:paraId="38C38F4C"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{"citationItems":[{"id":"ITEM-1","itemData":{"DOI":"10.1108/IMEFM-01-2022-0014","ISSN":"17538394 (ISSN)","author":[{"dropping-particle":"","family":"Laila","given":"N","non-dropping-particle":"","parse-names":false,"suffix":""},{"dropping-particle":"","family":"Ratnasari","given":"R T","non-dropping-particle":"","parse-names":false,"suffix":""},{"dropping-particle":"","family":"Ismail","given":"S","non-dropping-particle":"","parse-names":false,"suffix":""},{"dropping-particle":"","family":"Mohd Hidzir","given":"P A","non-dropping-particle":"","parse-names":false,"suffix":""},{"dropping-particle":"","family":"Mahphoth","given":"M H","non-dropping-particle":"","parse-names":false,"suffix":""}],"container-title":"International Journal of Islamic and Middle Eastern Finance and Management","id":"ITEM-1","issue":"3","issued":{"date-parts":[["2023"]]},"language":"English","note":"Export Date: 14 November 2024; Cited By: 16; Correspondence Address: S. Ismail; Faculty of Business and Management, Universiti Teknologi MARA, Melaka, Malaysia; email: shafinar138@gmail.com","page":"429-447","publisher":"Emerald Publishing","publisher-place":"Faculty of Economics and Business, Universitas Airlangga, Surabaya, Indonesia","title":"The intention of small and medium enterprises' owners to participate in waqf: the case of Malaysia and Indonesia","type":"article-journal","volume":"16"},"uris":["http://www.mendeley.com/documents/?uuid=dafaae38-7360-42e4-8b7a-c2d8a9cb7e23"]}],"mendeley":{"formattedCitation":"(Laila et al., 2023)","plainTextFormattedCitation":"(Laila et al., 2023)","previouslyFormattedCitation":"(Laila et al., 2023)"},"properties":{"noteIndex":0},"schema":"https://github.com/citation-style-language/schema/raw/master/csl-citation.json"}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(Laila et al., 2023)</w:t>
            </w:r>
            <w:r w:rsidRPr="00B23396">
              <w:rPr>
                <w:rFonts w:ascii="Calibri" w:hAnsi="Calibri" w:cs="Calibri"/>
              </w:rPr>
              <w:fldChar w:fldCharType="end"/>
            </w:r>
          </w:p>
        </w:tc>
        <w:tc>
          <w:tcPr>
            <w:tcW w:w="796" w:type="pct"/>
            <w:noWrap/>
            <w:hideMark/>
          </w:tcPr>
          <w:p w14:paraId="415D27D5"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63" w:type="pct"/>
            <w:noWrap/>
            <w:hideMark/>
          </w:tcPr>
          <w:p w14:paraId="2DCDEC53"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23396">
              <w:rPr>
                <w:rFonts w:ascii="Calibri" w:hAnsi="Calibri" w:cs="Calibri"/>
              </w:rPr>
              <w:t>/</w:t>
            </w:r>
          </w:p>
        </w:tc>
        <w:tc>
          <w:tcPr>
            <w:tcW w:w="786" w:type="pct"/>
            <w:noWrap/>
          </w:tcPr>
          <w:p w14:paraId="4FEFECBD"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54" w:type="pct"/>
            <w:noWrap/>
          </w:tcPr>
          <w:p w14:paraId="4259FE87"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19" w:type="pct"/>
            <w:noWrap/>
          </w:tcPr>
          <w:p w14:paraId="11866227" w14:textId="77777777" w:rsidR="00B23396" w:rsidRPr="00B23396" w:rsidRDefault="00B23396" w:rsidP="005B49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3396" w:rsidRPr="00B23396" w14:paraId="01109EA7" w14:textId="77777777" w:rsidTr="00B23396">
        <w:trPr>
          <w:trHeight w:val="539"/>
        </w:trPr>
        <w:tc>
          <w:tcPr>
            <w:cnfStyle w:val="001000000000" w:firstRow="0" w:lastRow="0" w:firstColumn="1" w:lastColumn="0" w:oddVBand="0" w:evenVBand="0" w:oddHBand="0" w:evenHBand="0" w:firstRowFirstColumn="0" w:firstRowLastColumn="0" w:lastRowFirstColumn="0" w:lastRowLastColumn="0"/>
            <w:tcW w:w="983" w:type="pct"/>
            <w:hideMark/>
          </w:tcPr>
          <w:p w14:paraId="4AB6E1B7" w14:textId="77777777" w:rsidR="00B23396" w:rsidRPr="00B23396" w:rsidRDefault="00B23396" w:rsidP="005B49F1">
            <w:pPr>
              <w:spacing w:after="0" w:line="240" w:lineRule="auto"/>
              <w:jc w:val="center"/>
              <w:rPr>
                <w:rFonts w:ascii="Calibri" w:hAnsi="Calibri" w:cs="Calibri"/>
              </w:rPr>
            </w:pPr>
            <w:r w:rsidRPr="00B23396">
              <w:rPr>
                <w:rFonts w:ascii="Calibri" w:hAnsi="Calibri" w:cs="Calibri"/>
              </w:rPr>
              <w:fldChar w:fldCharType="begin" w:fldLock="1"/>
            </w:r>
            <w:r w:rsidRPr="00B23396">
              <w:rPr>
                <w:rFonts w:ascii="Calibri" w:hAnsi="Calibri" w:cs="Calibri"/>
              </w:rPr>
              <w:instrText>ADDIN CSL_CITATION {"citationItems":[{"id":"ITEM-1","itemData":{"DOI":"10.1108/IJIF-11-2019-0178","ISSN":"22894365","abstract":"Purpose: This research paper aims to determine the factors needed to propose a platform where waqf (Islamic endowment) organizations can collaborate with government public hospitals to develop corporate waqf hospitals. Consequently, the elements of governance and sustainability are included in the management of corporate waqf hospitals thereby leading to the corporatization of public hospitals. Design/methodology/approach: This study adopts the qualitative research methodology and undertakes content analysis of data collected from journal articles, magazines and official websites. Data analysis involves open coding with NVivo 12. Findings: General findings from the literature review have shown that architectural and engineering fundamentals were essential factors in the success of past waqf hospitals of the era between 8th and 14th centuries. In that era, the decentralized waqf-based hospitals employed the mutawalli (the trustee/manager of the waqf assets) to govern the administration of the hospitals. Present corporate waqf hospitals can exploit the elements identified from past waqf-based hospitals and additionally adopt the private-public partnership model in the form of a muḍārabah (profit-sharing contract) agreement to design a sustainable waqf governance model for Malaysian public healthcare services. Research limitations/implications: The proposed platform is designed for a corporate waqf model developed in collaboration between Malaysian waqf institutions and public healthcare services. It abides by both the Malaysian fatwa (Islamic rulings) on waqf and the laws of the Malaysian Government. Practical implications: There is potential for developing the Malaysian corporate waqf-governance healthcare model which will enable the hospital to provide better quality healthcare to more patients through upgrading the quality of equipment used in hospitals and/or better facilities at equal or lower costs. Consequently, this will not only improve waqf management and distribution but also result in reduction of government expenditure. Social implications: This research promotes the concept of a corporate waqf hospital which will provide innumerable beneficial healthcare services in terms of improved healthcare quality at affordable costs to the general public and at no cost to the poor and the underprivileged. Originality/value: Although waqf has played an important role as a vehicle for Islamic financing in the society for centuries, a model of collaborati…","author":[{"dropping-particle":"","family":"Raja Adnan","given":"Raja Aishah binti","non-dropping-particle":"","parse-names":false,"suffix":""},{"dropping-particle":"","family":"Abdul Mutalib","given":"Mahazan","non-dropping-particle":"","parse-names":false,"suffix":""},{"dropping-particle":"","family":"Ab Aziz","given":"Muhammad Ridhwan","non-dropping-particle":"","parse-names":false,"suffix":""}],"container-title":"ISRA International Journal of Islamic Finance","id":"ITEM-1","issue":"1","issued":{"date-parts":[["2022"]]},"page":"73-88","title":"Factors necessary for effective corporate waqf management for Malaysian public healthcare","type":"article-journal","volume":"14"},"uris":["http://www.mendeley.com/documents/?uuid=d48e9837-a380-4f7b-86e0-66fbc77e2781"]}],"mendeley":{"formattedCitation":"(Raja Adnan et al., 2022)","plainTextFormattedCitation":"(Raja Adnan et al., 2022)","previouslyFormattedCitation":"(Raja Adnan et al., 2022)"},"properties":{"noteIndex":0},"schema":"https://github.com/citation-style-language/schema/raw/master/csl-citation.json"}</w:instrText>
            </w:r>
            <w:r w:rsidRPr="00B23396">
              <w:rPr>
                <w:rFonts w:ascii="Calibri" w:hAnsi="Calibri" w:cs="Calibri"/>
              </w:rPr>
              <w:fldChar w:fldCharType="separate"/>
            </w:r>
            <w:r w:rsidRPr="00B23396">
              <w:rPr>
                <w:rFonts w:ascii="Calibri" w:hAnsi="Calibri" w:cs="Calibri"/>
                <w:noProof/>
              </w:rPr>
              <w:t>(Raja Adnan et al., 2022)</w:t>
            </w:r>
            <w:r w:rsidRPr="00B23396">
              <w:rPr>
                <w:rFonts w:ascii="Calibri" w:hAnsi="Calibri" w:cs="Calibri"/>
              </w:rPr>
              <w:fldChar w:fldCharType="end"/>
            </w:r>
          </w:p>
        </w:tc>
        <w:tc>
          <w:tcPr>
            <w:tcW w:w="796" w:type="pct"/>
            <w:noWrap/>
          </w:tcPr>
          <w:p w14:paraId="64FDF5D5"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63" w:type="pct"/>
            <w:noWrap/>
          </w:tcPr>
          <w:p w14:paraId="7DCCC9BC"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86" w:type="pct"/>
            <w:noWrap/>
            <w:hideMark/>
          </w:tcPr>
          <w:p w14:paraId="34643DF0"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23396">
              <w:rPr>
                <w:rFonts w:ascii="Calibri" w:hAnsi="Calibri" w:cs="Calibri"/>
              </w:rPr>
              <w:t>/</w:t>
            </w:r>
          </w:p>
        </w:tc>
        <w:tc>
          <w:tcPr>
            <w:tcW w:w="854" w:type="pct"/>
            <w:noWrap/>
          </w:tcPr>
          <w:p w14:paraId="04A8F7C8"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19" w:type="pct"/>
            <w:noWrap/>
          </w:tcPr>
          <w:p w14:paraId="61367418" w14:textId="77777777" w:rsidR="00B23396" w:rsidRPr="00B23396" w:rsidRDefault="00B23396" w:rsidP="005B49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bl>
    <w:p w14:paraId="75A32FA7" w14:textId="77777777" w:rsidR="00B23396" w:rsidRPr="00000592" w:rsidRDefault="00B23396" w:rsidP="00B23396">
      <w:pPr>
        <w:spacing w:after="0" w:line="240" w:lineRule="auto"/>
        <w:rPr>
          <w:rFonts w:ascii="Calibri" w:hAnsi="Calibri" w:cs="Calibri"/>
          <w:sz w:val="24"/>
          <w:szCs w:val="24"/>
        </w:rPr>
      </w:pPr>
    </w:p>
    <w:p w14:paraId="10680259" w14:textId="718F9B01" w:rsidR="00B23396" w:rsidRPr="00B23396" w:rsidRDefault="00B23396" w:rsidP="00B23396">
      <w:pPr>
        <w:spacing w:after="0" w:line="240" w:lineRule="auto"/>
        <w:outlineLvl w:val="2"/>
        <w:rPr>
          <w:rFonts w:ascii="Calibri" w:hAnsi="Calibri" w:cs="Calibri"/>
          <w:i/>
          <w:iCs/>
          <w:sz w:val="24"/>
          <w:szCs w:val="24"/>
        </w:rPr>
      </w:pPr>
      <w:r w:rsidRPr="00B23396">
        <w:rPr>
          <w:rFonts w:ascii="Calibri" w:hAnsi="Calibri" w:cs="Calibri"/>
          <w:i/>
          <w:iCs/>
          <w:sz w:val="24"/>
          <w:szCs w:val="24"/>
        </w:rPr>
        <w:t>Qualitative Reporting</w:t>
      </w:r>
    </w:p>
    <w:p w14:paraId="012EC5E9" w14:textId="77777777" w:rsidR="00B23396" w:rsidRDefault="00B23396" w:rsidP="00B23396">
      <w:pPr>
        <w:spacing w:after="0" w:line="240" w:lineRule="auto"/>
        <w:jc w:val="both"/>
        <w:rPr>
          <w:rFonts w:ascii="Calibri" w:hAnsi="Calibri" w:cs="Calibri"/>
          <w:sz w:val="24"/>
          <w:szCs w:val="24"/>
        </w:rPr>
      </w:pPr>
      <w:r w:rsidRPr="00000592">
        <w:rPr>
          <w:rFonts w:ascii="Calibri" w:hAnsi="Calibri" w:cs="Calibri"/>
          <w:sz w:val="24"/>
          <w:szCs w:val="24"/>
        </w:rPr>
        <w:t xml:space="preserve">The diagram provides an overview of the comparative trends analysis of waqf practices and sustainability initiatives from 2019 to 2024. It identifies five primary themes. Theme 1, "Financial Sustainability and Economic Development," is noted 11 times, </w:t>
      </w:r>
      <w:proofErr w:type="spellStart"/>
      <w:r w:rsidRPr="00000592">
        <w:rPr>
          <w:rFonts w:ascii="Calibri" w:hAnsi="Calibri" w:cs="Calibri"/>
          <w:sz w:val="24"/>
          <w:szCs w:val="24"/>
        </w:rPr>
        <w:t>emphasising</w:t>
      </w:r>
      <w:proofErr w:type="spellEnd"/>
      <w:r w:rsidRPr="00000592">
        <w:rPr>
          <w:rFonts w:ascii="Calibri" w:hAnsi="Calibri" w:cs="Calibri"/>
          <w:sz w:val="24"/>
          <w:szCs w:val="24"/>
        </w:rPr>
        <w:t xml:space="preserve"> the integration of financial considerations with economic development for the sustainability of waqf. Theme 2, "Community Empowerment and Social Welfare," mentioned 6 times, highlights the significance of socially driven initiatives that empower communities to sustain waqf practices. Theme 3, "Innovative Waqf Models and Practices," noted 8 times, underscores the importance of innovation in waqf models and practices that influence sustainability. Theme 4, "Environmental Sustainability and Waqf," with 4 mentions, critically addresses the environmental aspects of waqf sustainability. Lastly, Theme 5, "Governance and Legal Framework," mentioned 5 times, reflects the importance of strengthening </w:t>
      </w:r>
      <w:r w:rsidRPr="00000592">
        <w:rPr>
          <w:rFonts w:ascii="Calibri" w:hAnsi="Calibri" w:cs="Calibri"/>
          <w:sz w:val="24"/>
          <w:szCs w:val="24"/>
        </w:rPr>
        <w:lastRenderedPageBreak/>
        <w:t xml:space="preserve">governance and legal frameworks to ensure the sustainability of waqf. This comprehensive analysis of themes strongly </w:t>
      </w:r>
      <w:proofErr w:type="spellStart"/>
      <w:r w:rsidRPr="00000592">
        <w:rPr>
          <w:rFonts w:ascii="Calibri" w:hAnsi="Calibri" w:cs="Calibri"/>
          <w:sz w:val="24"/>
          <w:szCs w:val="24"/>
        </w:rPr>
        <w:t>emphasises</w:t>
      </w:r>
      <w:proofErr w:type="spellEnd"/>
      <w:r w:rsidRPr="00000592">
        <w:rPr>
          <w:rFonts w:ascii="Calibri" w:hAnsi="Calibri" w:cs="Calibri"/>
          <w:sz w:val="24"/>
          <w:szCs w:val="24"/>
        </w:rPr>
        <w:t xml:space="preserve"> economic, social, technological, environmental, and practical management considerations within the current discourse on waqf sustainability.</w:t>
      </w:r>
    </w:p>
    <w:p w14:paraId="010E0A83" w14:textId="77777777" w:rsidR="00174DF2" w:rsidRPr="00000592" w:rsidRDefault="00174DF2" w:rsidP="00B23396">
      <w:pPr>
        <w:spacing w:after="0" w:line="240" w:lineRule="auto"/>
        <w:jc w:val="both"/>
        <w:rPr>
          <w:rFonts w:ascii="Calibri" w:hAnsi="Calibri" w:cs="Calibri"/>
          <w:sz w:val="24"/>
          <w:szCs w:val="24"/>
        </w:rPr>
      </w:pPr>
    </w:p>
    <w:p w14:paraId="7C40B256" w14:textId="77777777" w:rsidR="00B23396" w:rsidRPr="00000592" w:rsidRDefault="00B23396" w:rsidP="00B23396">
      <w:pPr>
        <w:spacing w:after="0" w:line="240" w:lineRule="auto"/>
        <w:jc w:val="center"/>
        <w:rPr>
          <w:rFonts w:ascii="Calibri" w:hAnsi="Calibri" w:cs="Calibri"/>
          <w:sz w:val="24"/>
          <w:szCs w:val="24"/>
        </w:rPr>
      </w:pPr>
      <w:r w:rsidRPr="00000592">
        <w:rPr>
          <w:rFonts w:ascii="Calibri" w:hAnsi="Calibri" w:cs="Calibri"/>
          <w:noProof/>
          <w:sz w:val="24"/>
          <w:szCs w:val="24"/>
        </w:rPr>
        <w:drawing>
          <wp:inline distT="0" distB="0" distL="0" distR="0" wp14:anchorId="2A79A98D" wp14:editId="186A5713">
            <wp:extent cx="5731510" cy="3453130"/>
            <wp:effectExtent l="0" t="0" r="2540" b="0"/>
            <wp:docPr id="695595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95923" name=""/>
                    <pic:cNvPicPr/>
                  </pic:nvPicPr>
                  <pic:blipFill>
                    <a:blip r:embed="rId14"/>
                    <a:stretch>
                      <a:fillRect/>
                    </a:stretch>
                  </pic:blipFill>
                  <pic:spPr>
                    <a:xfrm>
                      <a:off x="0" y="0"/>
                      <a:ext cx="5731510" cy="3453130"/>
                    </a:xfrm>
                    <a:prstGeom prst="rect">
                      <a:avLst/>
                    </a:prstGeom>
                  </pic:spPr>
                </pic:pic>
              </a:graphicData>
            </a:graphic>
          </wp:inline>
        </w:drawing>
      </w:r>
    </w:p>
    <w:p w14:paraId="590697EF" w14:textId="77777777" w:rsidR="00B23396" w:rsidRPr="00000592" w:rsidRDefault="00B23396" w:rsidP="00B23396">
      <w:pPr>
        <w:spacing w:after="0" w:line="240" w:lineRule="auto"/>
        <w:rPr>
          <w:rFonts w:ascii="Calibri" w:hAnsi="Calibri" w:cs="Calibri"/>
          <w:sz w:val="24"/>
          <w:szCs w:val="24"/>
        </w:rPr>
      </w:pPr>
    </w:p>
    <w:p w14:paraId="028F7B6E" w14:textId="77777777" w:rsidR="00174DF2" w:rsidRPr="00174DF2" w:rsidRDefault="00174DF2" w:rsidP="00174DF2">
      <w:pPr>
        <w:pBdr>
          <w:top w:val="nil"/>
          <w:left w:val="nil"/>
          <w:bottom w:val="nil"/>
          <w:right w:val="nil"/>
          <w:between w:val="nil"/>
        </w:pBdr>
        <w:spacing w:after="0" w:line="240" w:lineRule="auto"/>
        <w:rPr>
          <w:rFonts w:ascii="Calibri" w:hAnsi="Calibri" w:cs="Calibri"/>
          <w:iCs/>
          <w:sz w:val="24"/>
          <w:szCs w:val="24"/>
        </w:rPr>
      </w:pPr>
      <w:bookmarkStart w:id="20" w:name="_Hlk187934711"/>
      <w:r w:rsidRPr="00174DF2">
        <w:rPr>
          <w:rFonts w:ascii="Calibri" w:hAnsi="Calibri" w:cs="Calibri"/>
          <w:iCs/>
          <w:sz w:val="24"/>
          <w:szCs w:val="24"/>
        </w:rPr>
        <w:t>Figure 7: The Theme to Answer RQ</w:t>
      </w:r>
    </w:p>
    <w:p w14:paraId="2BE4C612" w14:textId="77777777" w:rsidR="00174DF2" w:rsidRDefault="00174DF2" w:rsidP="00B23396">
      <w:pPr>
        <w:spacing w:after="0" w:line="240" w:lineRule="auto"/>
        <w:outlineLvl w:val="3"/>
        <w:rPr>
          <w:rFonts w:ascii="Calibri" w:hAnsi="Calibri" w:cs="Calibri"/>
          <w:i/>
          <w:iCs/>
          <w:sz w:val="24"/>
          <w:szCs w:val="24"/>
        </w:rPr>
      </w:pPr>
    </w:p>
    <w:p w14:paraId="6CFF8E0E" w14:textId="2B95C64A" w:rsidR="00B23396" w:rsidRPr="00B23396" w:rsidRDefault="00B23396" w:rsidP="00B23396">
      <w:pPr>
        <w:spacing w:after="0" w:line="240" w:lineRule="auto"/>
        <w:outlineLvl w:val="3"/>
        <w:rPr>
          <w:rFonts w:ascii="Calibri" w:hAnsi="Calibri" w:cs="Calibri"/>
          <w:i/>
          <w:iCs/>
          <w:sz w:val="24"/>
          <w:szCs w:val="24"/>
        </w:rPr>
      </w:pPr>
      <w:r w:rsidRPr="00B23396">
        <w:rPr>
          <w:rFonts w:ascii="Calibri" w:hAnsi="Calibri" w:cs="Calibri"/>
          <w:i/>
          <w:iCs/>
          <w:sz w:val="24"/>
          <w:szCs w:val="24"/>
        </w:rPr>
        <w:t>Theme 1: Financial Sustainability and Economic Development</w:t>
      </w:r>
    </w:p>
    <w:p w14:paraId="22F98DF3" w14:textId="77777777" w:rsidR="00B23396" w:rsidRPr="00000592" w:rsidRDefault="00B23396" w:rsidP="00B23396">
      <w:pPr>
        <w:spacing w:after="0" w:line="240" w:lineRule="auto"/>
        <w:jc w:val="both"/>
        <w:rPr>
          <w:rFonts w:ascii="Calibri" w:hAnsi="Calibri" w:cs="Calibri"/>
          <w:sz w:val="24"/>
          <w:szCs w:val="24"/>
          <w:lang w:val="en-MY"/>
        </w:rPr>
      </w:pPr>
      <w:bookmarkStart w:id="21" w:name="_Hlk96352545"/>
      <w:r w:rsidRPr="00000592">
        <w:rPr>
          <w:rFonts w:ascii="Calibri" w:hAnsi="Calibri" w:cs="Calibri"/>
          <w:sz w:val="24"/>
          <w:szCs w:val="24"/>
          <w:lang w:val="en-MY"/>
        </w:rPr>
        <w:t xml:space="preserve">Waqf, as an Islamic endowment, or waqf, has adapted to tackle modern financial challenges while promoting economic sustainability. Its uses now go beyond traditional charity, incorporating creative financial models designed to stimulate socio-economic growth. For instance, Nik Ahmad et al. (2019) highlight the necessity of resource optimisation and revenue diversification in securing financial sustainability within public institutions. Their research on Malaysian universities reveals that simply raising tuition fees is not a practical solution; rather, effective management of resources stands out as a crucial pathway. This viewpoint is echoed by Bayram and </w:t>
      </w:r>
      <w:proofErr w:type="spellStart"/>
      <w:r w:rsidRPr="00000592">
        <w:rPr>
          <w:rFonts w:ascii="Calibri" w:hAnsi="Calibri" w:cs="Calibri"/>
          <w:sz w:val="24"/>
          <w:szCs w:val="24"/>
          <w:lang w:val="en-MY"/>
        </w:rPr>
        <w:t>Altarturi</w:t>
      </w:r>
      <w:proofErr w:type="spellEnd"/>
      <w:r w:rsidRPr="00000592">
        <w:rPr>
          <w:rFonts w:ascii="Calibri" w:hAnsi="Calibri" w:cs="Calibri"/>
          <w:sz w:val="24"/>
          <w:szCs w:val="24"/>
          <w:lang w:val="en-MY"/>
        </w:rPr>
        <w:t xml:space="preserve"> (2020), who suggest a waqf-based model to assist in post-crisis reconstruction in Marawi, Philippines, intertwining historical waqf principles like debt relief to offer sustainable financial solutions. Similarly, Razak (2020) emphasises the potential role of cash waqf in Malaysia, advocating for its contribution to poverty alleviation and alignment with national economic development goals.</w:t>
      </w:r>
    </w:p>
    <w:p w14:paraId="5AC75541" w14:textId="77777777" w:rsidR="00B23396" w:rsidRPr="00000592" w:rsidRDefault="00B23396" w:rsidP="00B23396">
      <w:pPr>
        <w:spacing w:after="0" w:line="240" w:lineRule="auto"/>
        <w:jc w:val="both"/>
        <w:rPr>
          <w:rFonts w:ascii="Calibri" w:hAnsi="Calibri" w:cs="Calibri"/>
          <w:sz w:val="24"/>
          <w:szCs w:val="24"/>
          <w:lang w:val="en-MY"/>
        </w:rPr>
      </w:pPr>
    </w:p>
    <w:p w14:paraId="2C1E7E60" w14:textId="77777777" w:rsidR="00B23396" w:rsidRDefault="00B23396" w:rsidP="00B23396">
      <w:pPr>
        <w:spacing w:after="0" w:line="240" w:lineRule="auto"/>
        <w:jc w:val="both"/>
        <w:rPr>
          <w:rFonts w:ascii="Calibri" w:hAnsi="Calibri" w:cs="Calibri"/>
          <w:sz w:val="24"/>
          <w:szCs w:val="24"/>
          <w:lang w:val="en-MY"/>
        </w:rPr>
      </w:pPr>
      <w:r w:rsidRPr="00000592">
        <w:rPr>
          <w:rFonts w:ascii="Calibri" w:hAnsi="Calibri" w:cs="Calibri"/>
          <w:sz w:val="24"/>
          <w:szCs w:val="24"/>
          <w:lang w:val="en-MY"/>
        </w:rPr>
        <w:t xml:space="preserve">The historical significance of waqf further showcases its lasting importance in fostering stability and growth. For instance, the cash waqfs from the Ottoman era were instrumental in funding public welfare projects, encompassing education, healthcare, and infrastructure. This historical context illustrates waqf’s ability to meet social and economic needs over extended periods (Bulut, 2020). Building on this legacy, Fauziah (2021) introduces the Integrated Cash Waqf Social Enterprise Business (ICWSE-B) model, which combines principles of social enterprise with waqf to tackle financial challenges in Indonesia. This model aligns with the Sustainable Development Goals (SDGs) and promotes economic inclusivity by </w:t>
      </w:r>
      <w:r w:rsidRPr="00000592">
        <w:rPr>
          <w:rFonts w:ascii="Calibri" w:hAnsi="Calibri" w:cs="Calibri"/>
          <w:sz w:val="24"/>
          <w:szCs w:val="24"/>
          <w:lang w:val="en-MY"/>
        </w:rPr>
        <w:lastRenderedPageBreak/>
        <w:t>empowering marginalised communities, highlighting waqf's adaptability to current economic realities.</w:t>
      </w:r>
    </w:p>
    <w:p w14:paraId="66927E5A" w14:textId="77777777" w:rsidR="00174DF2" w:rsidRPr="00000592" w:rsidRDefault="00174DF2" w:rsidP="00B23396">
      <w:pPr>
        <w:spacing w:after="0" w:line="240" w:lineRule="auto"/>
        <w:jc w:val="both"/>
        <w:rPr>
          <w:rFonts w:ascii="Calibri" w:hAnsi="Calibri" w:cs="Calibri"/>
          <w:sz w:val="24"/>
          <w:szCs w:val="24"/>
          <w:lang w:val="en-MY"/>
        </w:rPr>
      </w:pPr>
    </w:p>
    <w:p w14:paraId="22F57151" w14:textId="77777777" w:rsidR="00B23396" w:rsidRPr="00000592" w:rsidRDefault="00B23396" w:rsidP="00B23396">
      <w:pPr>
        <w:spacing w:after="0" w:line="240" w:lineRule="auto"/>
        <w:jc w:val="both"/>
        <w:rPr>
          <w:rFonts w:ascii="Calibri" w:hAnsi="Calibri" w:cs="Calibri"/>
          <w:sz w:val="24"/>
          <w:szCs w:val="24"/>
          <w:lang w:val="en-MY"/>
        </w:rPr>
      </w:pPr>
      <w:r w:rsidRPr="00000592">
        <w:rPr>
          <w:rFonts w:ascii="Calibri" w:hAnsi="Calibri" w:cs="Calibri"/>
          <w:sz w:val="24"/>
          <w:szCs w:val="24"/>
          <w:lang w:val="en-MY"/>
        </w:rPr>
        <w:t xml:space="preserve">Effective management and innovative frameworks are essential to sustain waqf's contributions in today’s economic landscape. Ibrahim et al. (2021) advocated for integrating waqf with microfinance to bolster socio-economic development, emphasising the importance of urgency and collaboration. Additionally, </w:t>
      </w:r>
      <w:proofErr w:type="spellStart"/>
      <w:r w:rsidRPr="00000592">
        <w:rPr>
          <w:rFonts w:ascii="Calibri" w:hAnsi="Calibri" w:cs="Calibri"/>
          <w:sz w:val="24"/>
          <w:szCs w:val="24"/>
          <w:lang w:val="en-MY"/>
        </w:rPr>
        <w:t>Shulthoni</w:t>
      </w:r>
      <w:proofErr w:type="spellEnd"/>
      <w:r w:rsidRPr="00000592">
        <w:rPr>
          <w:rFonts w:ascii="Calibri" w:hAnsi="Calibri" w:cs="Calibri"/>
          <w:sz w:val="24"/>
          <w:szCs w:val="24"/>
          <w:lang w:val="en-MY"/>
        </w:rPr>
        <w:t xml:space="preserve"> and Saad (2018) proposed modern fundraising strategies, such as venture philanthropy and value-based capital, to strengthen waqf institutions. The financial health of waqf organisations underscores the necessity for sustainable management practices to ensure their longevity (Sulaiman &amp; Zakari, 2019). Thus, there is a pressing need for sound administration, public awareness, and consistent funding to enhance the long-term impact of waqf initiatives (Mohd </w:t>
      </w:r>
      <w:proofErr w:type="spellStart"/>
      <w:r w:rsidRPr="00000592">
        <w:rPr>
          <w:rFonts w:ascii="Calibri" w:hAnsi="Calibri" w:cs="Calibri"/>
          <w:sz w:val="24"/>
          <w:szCs w:val="24"/>
          <w:lang w:val="en-MY"/>
        </w:rPr>
        <w:t>Thas</w:t>
      </w:r>
      <w:proofErr w:type="spellEnd"/>
      <w:r w:rsidRPr="00000592">
        <w:rPr>
          <w:rFonts w:ascii="Calibri" w:hAnsi="Calibri" w:cs="Calibri"/>
          <w:sz w:val="24"/>
          <w:szCs w:val="24"/>
          <w:lang w:val="en-MY"/>
        </w:rPr>
        <w:t xml:space="preserve"> Thaker, 2018). These insights collectively illustrate that with strategic innovation and management, waqf is a powerful vehicle for achieving financial sustainability and economic development. The overall argument for theme 1 is depicted in Figure 8.</w:t>
      </w:r>
    </w:p>
    <w:p w14:paraId="3D08F5E3" w14:textId="77777777" w:rsidR="00B23396" w:rsidRPr="00000592" w:rsidRDefault="00B23396" w:rsidP="00B23396">
      <w:pPr>
        <w:spacing w:after="0" w:line="240" w:lineRule="auto"/>
        <w:jc w:val="both"/>
        <w:rPr>
          <w:rFonts w:ascii="Calibri" w:hAnsi="Calibri" w:cs="Calibri"/>
          <w:sz w:val="24"/>
          <w:szCs w:val="24"/>
          <w:lang w:val="en-MY"/>
        </w:rPr>
      </w:pPr>
    </w:p>
    <w:p w14:paraId="080376A5" w14:textId="77777777" w:rsidR="00B23396" w:rsidRPr="00000592" w:rsidRDefault="00B23396" w:rsidP="00B23396">
      <w:pPr>
        <w:spacing w:after="0" w:line="240" w:lineRule="auto"/>
        <w:jc w:val="center"/>
        <w:rPr>
          <w:rFonts w:ascii="Calibri" w:hAnsi="Calibri" w:cs="Calibri"/>
          <w:sz w:val="24"/>
          <w:szCs w:val="24"/>
          <w:lang w:val="en-MY"/>
        </w:rPr>
      </w:pPr>
      <w:r w:rsidRPr="00000592">
        <w:rPr>
          <w:rFonts w:ascii="Calibri" w:hAnsi="Calibri" w:cs="Calibri"/>
          <w:noProof/>
          <w:sz w:val="24"/>
          <w:szCs w:val="24"/>
          <w:lang w:val="en-MY"/>
        </w:rPr>
        <w:drawing>
          <wp:inline distT="0" distB="0" distL="0" distR="0" wp14:anchorId="429B2701" wp14:editId="5534268E">
            <wp:extent cx="5691505" cy="3078480"/>
            <wp:effectExtent l="0" t="0" r="4445" b="7620"/>
            <wp:docPr id="1740220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20586" name=""/>
                    <pic:cNvPicPr/>
                  </pic:nvPicPr>
                  <pic:blipFill rotWithShape="1">
                    <a:blip r:embed="rId15"/>
                    <a:srcRect b="1174"/>
                    <a:stretch/>
                  </pic:blipFill>
                  <pic:spPr bwMode="auto">
                    <a:xfrm>
                      <a:off x="0" y="0"/>
                      <a:ext cx="5694767" cy="3080244"/>
                    </a:xfrm>
                    <a:prstGeom prst="rect">
                      <a:avLst/>
                    </a:prstGeom>
                    <a:ln>
                      <a:noFill/>
                    </a:ln>
                    <a:extLst>
                      <a:ext uri="{53640926-AAD7-44D8-BBD7-CCE9431645EC}">
                        <a14:shadowObscured xmlns:a14="http://schemas.microsoft.com/office/drawing/2010/main"/>
                      </a:ext>
                    </a:extLst>
                  </pic:spPr>
                </pic:pic>
              </a:graphicData>
            </a:graphic>
          </wp:inline>
        </w:drawing>
      </w:r>
      <w:bookmarkEnd w:id="21"/>
    </w:p>
    <w:p w14:paraId="07EB5AEE" w14:textId="77777777" w:rsidR="00B23396" w:rsidRPr="00000592" w:rsidRDefault="00B23396" w:rsidP="00B23396">
      <w:pPr>
        <w:spacing w:after="0" w:line="240" w:lineRule="auto"/>
        <w:jc w:val="both"/>
        <w:rPr>
          <w:rFonts w:ascii="Calibri" w:hAnsi="Calibri" w:cs="Calibri"/>
          <w:sz w:val="24"/>
          <w:szCs w:val="24"/>
          <w:lang w:val="en-MY"/>
        </w:rPr>
      </w:pPr>
    </w:p>
    <w:p w14:paraId="6FCCBA56" w14:textId="77777777" w:rsidR="00B23396" w:rsidRPr="00B23396" w:rsidRDefault="00B23396" w:rsidP="00B23396">
      <w:pPr>
        <w:pBdr>
          <w:top w:val="nil"/>
          <w:left w:val="nil"/>
          <w:bottom w:val="nil"/>
          <w:right w:val="nil"/>
          <w:between w:val="nil"/>
        </w:pBdr>
        <w:spacing w:after="0" w:line="240" w:lineRule="auto"/>
        <w:rPr>
          <w:rFonts w:ascii="Calibri" w:hAnsi="Calibri" w:cs="Calibri"/>
          <w:iCs/>
          <w:sz w:val="24"/>
          <w:szCs w:val="24"/>
        </w:rPr>
      </w:pPr>
      <w:r w:rsidRPr="00B23396">
        <w:rPr>
          <w:rFonts w:ascii="Calibri" w:hAnsi="Calibri" w:cs="Calibri"/>
          <w:iCs/>
          <w:sz w:val="24"/>
          <w:szCs w:val="24"/>
        </w:rPr>
        <w:t>Figure 8: Theme 1: Financial Sustainability and Economic Development</w:t>
      </w:r>
    </w:p>
    <w:p w14:paraId="30F4C955" w14:textId="77777777" w:rsidR="00B23396" w:rsidRDefault="00B23396" w:rsidP="00B23396">
      <w:pPr>
        <w:spacing w:after="0" w:line="240" w:lineRule="auto"/>
        <w:jc w:val="both"/>
        <w:outlineLvl w:val="3"/>
        <w:rPr>
          <w:rFonts w:ascii="Calibri" w:hAnsi="Calibri" w:cs="Calibri"/>
          <w:b/>
          <w:bCs/>
          <w:sz w:val="24"/>
          <w:szCs w:val="24"/>
        </w:rPr>
      </w:pPr>
    </w:p>
    <w:p w14:paraId="6B0C1EC5" w14:textId="000DEAC9" w:rsidR="00B23396" w:rsidRPr="00B23396" w:rsidRDefault="00B23396" w:rsidP="00B23396">
      <w:pPr>
        <w:spacing w:after="0" w:line="240" w:lineRule="auto"/>
        <w:jc w:val="both"/>
        <w:outlineLvl w:val="3"/>
        <w:rPr>
          <w:rFonts w:ascii="Calibri" w:hAnsi="Calibri" w:cs="Calibri"/>
          <w:i/>
          <w:iCs/>
          <w:sz w:val="24"/>
          <w:szCs w:val="24"/>
        </w:rPr>
      </w:pPr>
      <w:r w:rsidRPr="00B23396">
        <w:rPr>
          <w:rFonts w:ascii="Calibri" w:hAnsi="Calibri" w:cs="Calibri"/>
          <w:i/>
          <w:iCs/>
          <w:sz w:val="24"/>
          <w:szCs w:val="24"/>
        </w:rPr>
        <w:t>Theme 2: Community Empowerment and Social Welfare</w:t>
      </w:r>
    </w:p>
    <w:p w14:paraId="4B056241" w14:textId="77777777" w:rsidR="00B23396" w:rsidRDefault="00B23396" w:rsidP="00B23396">
      <w:pPr>
        <w:spacing w:after="0" w:line="240" w:lineRule="auto"/>
        <w:jc w:val="both"/>
        <w:rPr>
          <w:rFonts w:ascii="Calibri" w:hAnsi="Calibri" w:cs="Calibri"/>
          <w:sz w:val="24"/>
          <w:szCs w:val="24"/>
          <w:lang w:val="en-MY"/>
        </w:rPr>
      </w:pPr>
      <w:r w:rsidRPr="00000592">
        <w:rPr>
          <w:rFonts w:ascii="Calibri" w:hAnsi="Calibri" w:cs="Calibri"/>
          <w:sz w:val="24"/>
          <w:szCs w:val="24"/>
          <w:lang w:val="en-MY"/>
        </w:rPr>
        <w:t xml:space="preserve">The diagram below outlines key themes related to community empowerment and social welfare, emphasising how Islamic principles can be utilised to address societal needs through waqf practices. Integrating waqf into family, community, and organisational settings reveals its remarkable potential for promoting social equity and well-being. Asiah (2018) points out the significance of waqf </w:t>
      </w:r>
      <w:proofErr w:type="spellStart"/>
      <w:r w:rsidRPr="00000592">
        <w:rPr>
          <w:rFonts w:ascii="Calibri" w:hAnsi="Calibri" w:cs="Calibri"/>
          <w:sz w:val="24"/>
          <w:szCs w:val="24"/>
          <w:lang w:val="en-MY"/>
        </w:rPr>
        <w:t>ahli</w:t>
      </w:r>
      <w:proofErr w:type="spellEnd"/>
      <w:r w:rsidRPr="00000592">
        <w:rPr>
          <w:rFonts w:ascii="Calibri" w:hAnsi="Calibri" w:cs="Calibri"/>
          <w:sz w:val="24"/>
          <w:szCs w:val="24"/>
          <w:lang w:val="en-MY"/>
        </w:rPr>
        <w:t xml:space="preserve"> in maintaining family economic stability, particularly in protecting financial security for heirs. The study underscores that family waqf safeguards assets and acts as a sustainable financial planning tool following </w:t>
      </w:r>
      <w:proofErr w:type="spellStart"/>
      <w:r w:rsidRPr="00000592">
        <w:rPr>
          <w:rFonts w:ascii="Calibri" w:hAnsi="Calibri" w:cs="Calibri"/>
          <w:sz w:val="24"/>
          <w:szCs w:val="24"/>
          <w:lang w:val="en-MY"/>
        </w:rPr>
        <w:t>Shari'ah</w:t>
      </w:r>
      <w:proofErr w:type="spellEnd"/>
      <w:r w:rsidRPr="00000592">
        <w:rPr>
          <w:rFonts w:ascii="Calibri" w:hAnsi="Calibri" w:cs="Calibri"/>
          <w:sz w:val="24"/>
          <w:szCs w:val="24"/>
          <w:lang w:val="en-MY"/>
        </w:rPr>
        <w:t xml:space="preserve">. By prioritising long-term economic resilience, waqf </w:t>
      </w:r>
      <w:proofErr w:type="spellStart"/>
      <w:r w:rsidRPr="00000592">
        <w:rPr>
          <w:rFonts w:ascii="Calibri" w:hAnsi="Calibri" w:cs="Calibri"/>
          <w:sz w:val="24"/>
          <w:szCs w:val="24"/>
          <w:lang w:val="en-MY"/>
        </w:rPr>
        <w:t>ahli</w:t>
      </w:r>
      <w:proofErr w:type="spellEnd"/>
      <w:r w:rsidRPr="00000592">
        <w:rPr>
          <w:rFonts w:ascii="Calibri" w:hAnsi="Calibri" w:cs="Calibri"/>
          <w:sz w:val="24"/>
          <w:szCs w:val="24"/>
          <w:lang w:val="en-MY"/>
        </w:rPr>
        <w:t xml:space="preserve"> strengthens family and community empowerment, presenting a solid model for achieving economic sustainability.</w:t>
      </w:r>
    </w:p>
    <w:p w14:paraId="7A1CF810" w14:textId="77777777" w:rsidR="00B23396" w:rsidRPr="00000592" w:rsidRDefault="00B23396" w:rsidP="00B23396">
      <w:pPr>
        <w:spacing w:after="0" w:line="240" w:lineRule="auto"/>
        <w:jc w:val="both"/>
        <w:rPr>
          <w:rFonts w:ascii="Calibri" w:hAnsi="Calibri" w:cs="Calibri"/>
          <w:sz w:val="24"/>
          <w:szCs w:val="24"/>
          <w:lang w:val="en-MY"/>
        </w:rPr>
      </w:pPr>
    </w:p>
    <w:p w14:paraId="289726AA" w14:textId="77777777" w:rsidR="00B23396" w:rsidRPr="00000592" w:rsidRDefault="00B23396" w:rsidP="00B23396">
      <w:pPr>
        <w:spacing w:after="0" w:line="240" w:lineRule="auto"/>
        <w:jc w:val="both"/>
        <w:rPr>
          <w:rFonts w:ascii="Calibri" w:hAnsi="Calibri" w:cs="Calibri"/>
          <w:sz w:val="24"/>
          <w:szCs w:val="24"/>
          <w:lang w:val="en-MY"/>
        </w:rPr>
      </w:pPr>
      <w:r w:rsidRPr="00000592">
        <w:rPr>
          <w:rFonts w:ascii="Calibri" w:hAnsi="Calibri" w:cs="Calibri"/>
          <w:sz w:val="24"/>
          <w:szCs w:val="24"/>
          <w:lang w:val="en-MY"/>
        </w:rPr>
        <w:lastRenderedPageBreak/>
        <w:t xml:space="preserve">Moreover, the role of waqf in social welfare shines through its capacity to tackle poverty while promoting educational and entrepreneurial growth. </w:t>
      </w:r>
      <w:proofErr w:type="spellStart"/>
      <w:r w:rsidRPr="00000592">
        <w:rPr>
          <w:rFonts w:ascii="Calibri" w:hAnsi="Calibri" w:cs="Calibri"/>
          <w:sz w:val="24"/>
          <w:szCs w:val="24"/>
          <w:lang w:val="en-MY"/>
        </w:rPr>
        <w:t>Kusumaningtias</w:t>
      </w:r>
      <w:proofErr w:type="spellEnd"/>
      <w:r w:rsidRPr="00000592">
        <w:rPr>
          <w:rFonts w:ascii="Calibri" w:hAnsi="Calibri" w:cs="Calibri"/>
          <w:sz w:val="24"/>
          <w:szCs w:val="24"/>
          <w:lang w:val="en-MY"/>
        </w:rPr>
        <w:t xml:space="preserve"> (2019) identifies waqf as a powerful means of poverty alleviation and social advancement, highlighting its potential to enhance education and stimulate entrepreneurship. This perspective aligns with Mohd Ali et al. (2023) research, which investigates innovative uses of cash waqf and zakat funds managed by mosques to empower </w:t>
      </w:r>
      <w:proofErr w:type="spellStart"/>
      <w:r w:rsidRPr="00000592">
        <w:rPr>
          <w:rFonts w:ascii="Calibri" w:hAnsi="Calibri" w:cs="Calibri"/>
          <w:sz w:val="24"/>
          <w:szCs w:val="24"/>
          <w:lang w:val="en-MY"/>
        </w:rPr>
        <w:t>asnaf</w:t>
      </w:r>
      <w:proofErr w:type="spellEnd"/>
      <w:r w:rsidRPr="00000592">
        <w:rPr>
          <w:rFonts w:ascii="Calibri" w:hAnsi="Calibri" w:cs="Calibri"/>
          <w:sz w:val="24"/>
          <w:szCs w:val="24"/>
          <w:lang w:val="en-MY"/>
        </w:rPr>
        <w:t xml:space="preserve"> communities. By combining crowdfunded waqf and zakat for sustainable agricultural projects, these initiatives illustrate how waqf can drive economic development and improve social welfare at the grassroots level. For instance, Winarsih et al. (2019) demonstrated the framework of how productive waqf supports </w:t>
      </w:r>
      <w:proofErr w:type="spellStart"/>
      <w:r w:rsidRPr="00000592">
        <w:rPr>
          <w:rFonts w:ascii="Calibri" w:hAnsi="Calibri" w:cs="Calibri"/>
          <w:sz w:val="24"/>
          <w:szCs w:val="24"/>
          <w:lang w:val="en-MY"/>
        </w:rPr>
        <w:t>pesantren</w:t>
      </w:r>
      <w:proofErr w:type="spellEnd"/>
      <w:r w:rsidRPr="00000592">
        <w:rPr>
          <w:rFonts w:ascii="Calibri" w:hAnsi="Calibri" w:cs="Calibri"/>
          <w:sz w:val="24"/>
          <w:szCs w:val="24"/>
          <w:lang w:val="en-MY"/>
        </w:rPr>
        <w:t xml:space="preserve"> (Islamic boarding schools), utilising integrated social and commercial economy models to ensure educational sustainability and bolster community welfare, as shown in Figure 9 in the overall theme: 2.</w:t>
      </w:r>
    </w:p>
    <w:p w14:paraId="26B03544" w14:textId="77777777" w:rsidR="00B23396" w:rsidRPr="00000592" w:rsidRDefault="00B23396" w:rsidP="00B23396">
      <w:pPr>
        <w:spacing w:after="0" w:line="240" w:lineRule="auto"/>
        <w:jc w:val="center"/>
        <w:rPr>
          <w:rFonts w:ascii="Calibri" w:hAnsi="Calibri" w:cs="Calibri"/>
          <w:sz w:val="24"/>
          <w:szCs w:val="24"/>
          <w:lang w:val="en-MY"/>
        </w:rPr>
      </w:pPr>
      <w:r w:rsidRPr="00000592">
        <w:rPr>
          <w:rFonts w:ascii="Calibri" w:hAnsi="Calibri" w:cs="Calibri"/>
          <w:noProof/>
          <w:sz w:val="24"/>
          <w:szCs w:val="24"/>
        </w:rPr>
        <w:drawing>
          <wp:inline distT="0" distB="0" distL="0" distR="0" wp14:anchorId="4CB80395" wp14:editId="4A6E377B">
            <wp:extent cx="5728970" cy="3643745"/>
            <wp:effectExtent l="0" t="0" r="5080" b="0"/>
            <wp:docPr id="46659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9864" name=""/>
                    <pic:cNvPicPr/>
                  </pic:nvPicPr>
                  <pic:blipFill>
                    <a:blip r:embed="rId16"/>
                    <a:stretch>
                      <a:fillRect/>
                    </a:stretch>
                  </pic:blipFill>
                  <pic:spPr>
                    <a:xfrm>
                      <a:off x="0" y="0"/>
                      <a:ext cx="5785116" cy="3679455"/>
                    </a:xfrm>
                    <a:prstGeom prst="rect">
                      <a:avLst/>
                    </a:prstGeom>
                  </pic:spPr>
                </pic:pic>
              </a:graphicData>
            </a:graphic>
          </wp:inline>
        </w:drawing>
      </w:r>
    </w:p>
    <w:p w14:paraId="554F4509" w14:textId="77777777" w:rsidR="00B23396" w:rsidRPr="00B23396" w:rsidRDefault="00B23396" w:rsidP="00B23396">
      <w:pPr>
        <w:pBdr>
          <w:top w:val="nil"/>
          <w:left w:val="nil"/>
          <w:bottom w:val="nil"/>
          <w:right w:val="nil"/>
          <w:between w:val="nil"/>
        </w:pBdr>
        <w:spacing w:after="0" w:line="240" w:lineRule="auto"/>
        <w:rPr>
          <w:rFonts w:ascii="Calibri" w:hAnsi="Calibri" w:cs="Calibri"/>
          <w:iCs/>
          <w:sz w:val="24"/>
          <w:szCs w:val="24"/>
        </w:rPr>
      </w:pPr>
      <w:r w:rsidRPr="00B23396">
        <w:rPr>
          <w:rFonts w:ascii="Calibri" w:hAnsi="Calibri" w:cs="Calibri"/>
          <w:iCs/>
          <w:sz w:val="24"/>
          <w:szCs w:val="24"/>
        </w:rPr>
        <w:t>Figure 9: Theme 2: Community Empowerment and Social Welfare</w:t>
      </w:r>
    </w:p>
    <w:p w14:paraId="2C47B09D" w14:textId="77777777" w:rsidR="00B23396" w:rsidRDefault="00B23396" w:rsidP="00B23396">
      <w:pPr>
        <w:spacing w:after="0" w:line="240" w:lineRule="auto"/>
        <w:jc w:val="both"/>
        <w:rPr>
          <w:rFonts w:ascii="Calibri" w:hAnsi="Calibri" w:cs="Calibri"/>
          <w:sz w:val="24"/>
          <w:szCs w:val="24"/>
          <w:lang w:val="en-MY"/>
        </w:rPr>
      </w:pPr>
    </w:p>
    <w:p w14:paraId="50F84ADE" w14:textId="03B75BC1" w:rsidR="00B23396" w:rsidRPr="00000592" w:rsidRDefault="00B23396" w:rsidP="00B23396">
      <w:pPr>
        <w:spacing w:after="0" w:line="240" w:lineRule="auto"/>
        <w:jc w:val="both"/>
        <w:rPr>
          <w:rFonts w:ascii="Calibri" w:hAnsi="Calibri" w:cs="Calibri"/>
          <w:sz w:val="24"/>
          <w:szCs w:val="24"/>
          <w:lang w:val="en-MY"/>
        </w:rPr>
      </w:pPr>
      <w:r w:rsidRPr="00000592">
        <w:rPr>
          <w:rFonts w:ascii="Calibri" w:hAnsi="Calibri" w:cs="Calibri"/>
          <w:sz w:val="24"/>
          <w:szCs w:val="24"/>
          <w:lang w:val="en-MY"/>
        </w:rPr>
        <w:t>Additionally, the long-term effects of waqf on community structures and its potential for modern application highlight its significance in empowering diverse groups. Rochani et al. (2022) explored how waqf can create sustainable communal spaces, showing that waqf generosity is vital in sustaining urban communities by providing shared public resources. Similarly, Laila et al. (2023) stressed the importance of engaging small and medium-sized enterprises (SMEs) in waqf initiatives. Their research indicates that increasing awareness and positive attitudes among SME owners in Malaysia and Indonesia can significantly enhance waqf participation, leading to sustainable economic systems that benefit community welfare. These themes illustrate that with effective management and strategic implementation, waqf remains essential for empowering communities and ensuring long-term social welfare.</w:t>
      </w:r>
    </w:p>
    <w:p w14:paraId="605D0655" w14:textId="77777777" w:rsidR="00B23396" w:rsidRPr="00000592" w:rsidRDefault="00B23396" w:rsidP="00B23396">
      <w:pPr>
        <w:spacing w:after="0" w:line="240" w:lineRule="auto"/>
        <w:jc w:val="both"/>
        <w:rPr>
          <w:rFonts w:ascii="Calibri" w:hAnsi="Calibri" w:cs="Calibri"/>
          <w:sz w:val="24"/>
          <w:szCs w:val="24"/>
          <w:lang w:val="en-MY"/>
        </w:rPr>
      </w:pPr>
    </w:p>
    <w:p w14:paraId="6BC8C2FE" w14:textId="5D18477B" w:rsidR="00B23396" w:rsidRPr="00B23396" w:rsidRDefault="00B23396" w:rsidP="00B23396">
      <w:pPr>
        <w:spacing w:after="0" w:line="240" w:lineRule="auto"/>
        <w:jc w:val="both"/>
        <w:outlineLvl w:val="3"/>
        <w:rPr>
          <w:rFonts w:ascii="Calibri" w:hAnsi="Calibri" w:cs="Calibri"/>
          <w:i/>
          <w:iCs/>
          <w:sz w:val="24"/>
          <w:szCs w:val="24"/>
          <w:lang w:val="en-MY"/>
        </w:rPr>
      </w:pPr>
      <w:r w:rsidRPr="00B23396">
        <w:rPr>
          <w:rFonts w:ascii="Calibri" w:hAnsi="Calibri" w:cs="Calibri"/>
          <w:i/>
          <w:iCs/>
          <w:sz w:val="24"/>
          <w:szCs w:val="24"/>
          <w:lang w:val="en-MY"/>
        </w:rPr>
        <w:t>Theme 3: Innovative Waqf Models and Practices</w:t>
      </w:r>
    </w:p>
    <w:p w14:paraId="0FED7B7E" w14:textId="77777777" w:rsidR="00B23396" w:rsidRDefault="00B23396" w:rsidP="00B23396">
      <w:pPr>
        <w:spacing w:after="0" w:line="240" w:lineRule="auto"/>
        <w:jc w:val="both"/>
        <w:rPr>
          <w:rFonts w:ascii="Calibri" w:hAnsi="Calibri" w:cs="Calibri"/>
          <w:sz w:val="24"/>
          <w:szCs w:val="24"/>
          <w:lang w:val="en-MY"/>
        </w:rPr>
      </w:pPr>
      <w:r w:rsidRPr="00000592">
        <w:rPr>
          <w:rFonts w:ascii="Calibri" w:hAnsi="Calibri" w:cs="Calibri"/>
          <w:sz w:val="24"/>
          <w:szCs w:val="24"/>
          <w:lang w:val="en-MY"/>
        </w:rPr>
        <w:t xml:space="preserve">Waqf has transitioned from traditional practices to a dynamic tool for tackling contemporary socio-economic challenges. Innovative waqf models now incorporate modern financial </w:t>
      </w:r>
      <w:r w:rsidRPr="00000592">
        <w:rPr>
          <w:rFonts w:ascii="Calibri" w:hAnsi="Calibri" w:cs="Calibri"/>
          <w:sz w:val="24"/>
          <w:szCs w:val="24"/>
          <w:lang w:val="en-MY"/>
        </w:rPr>
        <w:lastRenderedPageBreak/>
        <w:t xml:space="preserve">systems, technology, and collaborative governance to ensure sustainability and maximise impact. For modern financial systems, a study by Mohamad Akhir et al. (2023) suggested integrating waqf with the ijarah instrument to address the financial constraints faced by private </w:t>
      </w:r>
      <w:proofErr w:type="spellStart"/>
      <w:r w:rsidRPr="00000592">
        <w:rPr>
          <w:rFonts w:ascii="Calibri" w:hAnsi="Calibri" w:cs="Calibri"/>
          <w:sz w:val="24"/>
          <w:szCs w:val="24"/>
          <w:lang w:val="en-MY"/>
        </w:rPr>
        <w:t>tahfiz</w:t>
      </w:r>
      <w:proofErr w:type="spellEnd"/>
      <w:r w:rsidRPr="00000592">
        <w:rPr>
          <w:rFonts w:ascii="Calibri" w:hAnsi="Calibri" w:cs="Calibri"/>
          <w:sz w:val="24"/>
          <w:szCs w:val="24"/>
          <w:lang w:val="en-MY"/>
        </w:rPr>
        <w:t xml:space="preserve"> schools in Malaysia. Their model demonstrates the potential of waqf-ijarah integration in establishing sustainable economic frameworks for educational institutions. Additionally, Wijaya (2023) presented the CWL-FRA (Cash Waqf Linked DINFRA) model, which combines cash waqf with infrastructure financing to bridge funding gaps in Indonesia's infrastructure sector. This model illustrates how waqf can simultaneously support economic development and national infrastructure projects, fostering a sustainable financial ecosystem.</w:t>
      </w:r>
    </w:p>
    <w:p w14:paraId="176F4FF1" w14:textId="77777777" w:rsidR="00B23396" w:rsidRPr="00000592" w:rsidRDefault="00B23396" w:rsidP="00B23396">
      <w:pPr>
        <w:spacing w:after="0" w:line="240" w:lineRule="auto"/>
        <w:jc w:val="both"/>
        <w:rPr>
          <w:rFonts w:ascii="Calibri" w:hAnsi="Calibri" w:cs="Calibri"/>
          <w:sz w:val="24"/>
          <w:szCs w:val="24"/>
          <w:lang w:val="en-MY"/>
        </w:rPr>
      </w:pPr>
    </w:p>
    <w:p w14:paraId="24A755EF" w14:textId="77777777" w:rsidR="00B23396" w:rsidRDefault="00B23396" w:rsidP="00B23396">
      <w:pPr>
        <w:spacing w:after="0" w:line="240" w:lineRule="auto"/>
        <w:jc w:val="both"/>
        <w:rPr>
          <w:rFonts w:ascii="Calibri" w:hAnsi="Calibri" w:cs="Calibri"/>
          <w:sz w:val="24"/>
          <w:szCs w:val="24"/>
          <w:lang w:val="en-MY"/>
        </w:rPr>
      </w:pPr>
      <w:r w:rsidRPr="00000592">
        <w:rPr>
          <w:rFonts w:ascii="Calibri" w:hAnsi="Calibri" w:cs="Calibri"/>
          <w:sz w:val="24"/>
          <w:szCs w:val="24"/>
          <w:lang w:val="en-MY"/>
        </w:rPr>
        <w:t xml:space="preserve">Furthermore, technological advancements and innovative models have significantly enhanced the sustainability of waqf, amplifying its impact across various sectors. A study by </w:t>
      </w:r>
      <w:proofErr w:type="spellStart"/>
      <w:r w:rsidRPr="00000592">
        <w:rPr>
          <w:rFonts w:ascii="Calibri" w:hAnsi="Calibri" w:cs="Calibri"/>
          <w:sz w:val="24"/>
          <w:szCs w:val="24"/>
          <w:lang w:val="en-MY"/>
        </w:rPr>
        <w:t>Laallam</w:t>
      </w:r>
      <w:proofErr w:type="spellEnd"/>
      <w:r w:rsidRPr="00000592">
        <w:rPr>
          <w:rFonts w:ascii="Calibri" w:hAnsi="Calibri" w:cs="Calibri"/>
          <w:sz w:val="24"/>
          <w:szCs w:val="24"/>
          <w:lang w:val="en-MY"/>
        </w:rPr>
        <w:t xml:space="preserve"> et al. (2020) elaborates on this by highlighting the role of intellectual capital (IC) in addressing challenges faced by waqf institutions, such as mismanagement and a shortage of skilled labour. Their research provides a conceptual framework that emphasises how human capital and knowledge management can improve the efficiency and sustainability of waqf operations. Incorporating innovative ecosystems and intellectual capital into waqf practices has expanded its capacity to tackle social challenges. Concurrently, Tahiri </w:t>
      </w:r>
      <w:proofErr w:type="spellStart"/>
      <w:r w:rsidRPr="00000592">
        <w:rPr>
          <w:rFonts w:ascii="Calibri" w:hAnsi="Calibri" w:cs="Calibri"/>
          <w:sz w:val="24"/>
          <w:szCs w:val="24"/>
          <w:lang w:val="en-MY"/>
        </w:rPr>
        <w:t>Jouti</w:t>
      </w:r>
      <w:proofErr w:type="spellEnd"/>
      <w:r w:rsidRPr="00000592">
        <w:rPr>
          <w:rFonts w:ascii="Calibri" w:hAnsi="Calibri" w:cs="Calibri"/>
          <w:sz w:val="24"/>
          <w:szCs w:val="24"/>
          <w:lang w:val="en-MY"/>
        </w:rPr>
        <w:t xml:space="preserve"> (2019) proposed the importance of fostering Islamic social finance ecosystems, advocating for collaboration among various stakeholders to achieve sustainability objectives. This integrated approach ensures that social initiatives receive adequate funding and are implemented effectively.</w:t>
      </w:r>
    </w:p>
    <w:p w14:paraId="4051092A" w14:textId="77777777" w:rsidR="00B23396" w:rsidRPr="00000592" w:rsidRDefault="00B23396" w:rsidP="00B23396">
      <w:pPr>
        <w:spacing w:after="0" w:line="240" w:lineRule="auto"/>
        <w:jc w:val="both"/>
        <w:rPr>
          <w:rFonts w:ascii="Calibri" w:hAnsi="Calibri" w:cs="Calibri"/>
          <w:sz w:val="24"/>
          <w:szCs w:val="24"/>
          <w:lang w:val="en-MY"/>
        </w:rPr>
      </w:pPr>
    </w:p>
    <w:p w14:paraId="42987E67" w14:textId="77777777" w:rsidR="00B23396" w:rsidRPr="00000592" w:rsidRDefault="00B23396" w:rsidP="00B23396">
      <w:pPr>
        <w:spacing w:after="0" w:line="240" w:lineRule="auto"/>
        <w:jc w:val="both"/>
        <w:rPr>
          <w:rFonts w:ascii="Calibri" w:hAnsi="Calibri" w:cs="Calibri"/>
          <w:sz w:val="24"/>
          <w:szCs w:val="24"/>
          <w:lang w:val="en-MY"/>
        </w:rPr>
      </w:pPr>
      <w:r w:rsidRPr="00000592">
        <w:rPr>
          <w:rFonts w:ascii="Calibri" w:hAnsi="Calibri" w:cs="Calibri"/>
          <w:sz w:val="24"/>
          <w:szCs w:val="24"/>
          <w:lang w:val="en-MY"/>
        </w:rPr>
        <w:t>Additionally, Raja Adnan et al. (2022) proposed a corporate waqf governance model designed explicitly for public healthcare services in Malaysia, drawing insights from historical waqf practices. Their model advocates for a public-private partnership framework that emphasises sustainability and governance to enhance the quality and accessibility of healthcare. Furthermore, they advocate for developing a comprehensive performance evaluation index for Islamic Social Finance programs, highlighting the importance of donor involvement and supervisory control as critical factors for success. Their findings illustrate how structured measurement tools can improve the sustainability of waqf-based initiatives, providing a systematic approach to assessing their impact on beneficiaries' quality of life and economic resilience (</w:t>
      </w:r>
      <w:proofErr w:type="spellStart"/>
      <w:r w:rsidRPr="00000592">
        <w:rPr>
          <w:rFonts w:ascii="Calibri" w:hAnsi="Calibri" w:cs="Calibri"/>
          <w:sz w:val="24"/>
          <w:szCs w:val="24"/>
          <w:lang w:val="en-MY"/>
        </w:rPr>
        <w:t>Widiastuti</w:t>
      </w:r>
      <w:proofErr w:type="spellEnd"/>
      <w:r w:rsidRPr="00000592">
        <w:rPr>
          <w:rFonts w:ascii="Calibri" w:hAnsi="Calibri" w:cs="Calibri"/>
          <w:sz w:val="24"/>
          <w:szCs w:val="24"/>
          <w:lang w:val="en-MY"/>
        </w:rPr>
        <w:t xml:space="preserve"> et al., 2022). The studies reviewed highlight how innovative waqf models effectively tackle sustainability, governance, and socio-economic development challenges, as illustrated in Figure 10.</w:t>
      </w:r>
    </w:p>
    <w:p w14:paraId="05DD80B5" w14:textId="77777777" w:rsidR="00B23396" w:rsidRPr="00000592" w:rsidRDefault="00B23396" w:rsidP="00B23396">
      <w:pPr>
        <w:spacing w:after="0" w:line="240" w:lineRule="auto"/>
        <w:jc w:val="center"/>
        <w:rPr>
          <w:rFonts w:ascii="Calibri" w:hAnsi="Calibri" w:cs="Calibri"/>
          <w:sz w:val="24"/>
          <w:szCs w:val="24"/>
          <w:lang w:val="en-MY"/>
        </w:rPr>
      </w:pPr>
      <w:r w:rsidRPr="00000592">
        <w:rPr>
          <w:rFonts w:ascii="Calibri" w:hAnsi="Calibri" w:cs="Calibri"/>
          <w:noProof/>
          <w:sz w:val="24"/>
          <w:szCs w:val="24"/>
        </w:rPr>
        <w:lastRenderedPageBreak/>
        <w:drawing>
          <wp:inline distT="0" distB="0" distL="0" distR="0" wp14:anchorId="0153470C" wp14:editId="72D95745">
            <wp:extent cx="5636260" cy="3794760"/>
            <wp:effectExtent l="0" t="0" r="2540" b="0"/>
            <wp:docPr id="1347439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39815" name=""/>
                    <pic:cNvPicPr/>
                  </pic:nvPicPr>
                  <pic:blipFill>
                    <a:blip r:embed="rId17"/>
                    <a:stretch>
                      <a:fillRect/>
                    </a:stretch>
                  </pic:blipFill>
                  <pic:spPr>
                    <a:xfrm>
                      <a:off x="0" y="0"/>
                      <a:ext cx="5675112" cy="3820918"/>
                    </a:xfrm>
                    <a:prstGeom prst="rect">
                      <a:avLst/>
                    </a:prstGeom>
                  </pic:spPr>
                </pic:pic>
              </a:graphicData>
            </a:graphic>
          </wp:inline>
        </w:drawing>
      </w:r>
    </w:p>
    <w:p w14:paraId="73CBFB85" w14:textId="77777777" w:rsidR="00B23396" w:rsidRPr="00B23396" w:rsidRDefault="00B23396" w:rsidP="00B23396">
      <w:pPr>
        <w:pBdr>
          <w:top w:val="nil"/>
          <w:left w:val="nil"/>
          <w:bottom w:val="nil"/>
          <w:right w:val="nil"/>
          <w:between w:val="nil"/>
        </w:pBdr>
        <w:spacing w:after="0" w:line="240" w:lineRule="auto"/>
        <w:rPr>
          <w:rFonts w:ascii="Calibri" w:hAnsi="Calibri" w:cs="Calibri"/>
          <w:iCs/>
          <w:sz w:val="24"/>
          <w:szCs w:val="24"/>
        </w:rPr>
      </w:pPr>
      <w:r w:rsidRPr="00B23396">
        <w:rPr>
          <w:rFonts w:ascii="Calibri" w:hAnsi="Calibri" w:cs="Calibri"/>
          <w:iCs/>
          <w:sz w:val="24"/>
          <w:szCs w:val="24"/>
        </w:rPr>
        <w:t>Figure 10: Theme 3: Innovative Waqf Models and Practices</w:t>
      </w:r>
    </w:p>
    <w:p w14:paraId="4DDB5EAD" w14:textId="77777777" w:rsidR="00B23396" w:rsidRDefault="00B23396" w:rsidP="00B23396">
      <w:pPr>
        <w:spacing w:after="0" w:line="240" w:lineRule="auto"/>
        <w:jc w:val="both"/>
        <w:outlineLvl w:val="3"/>
        <w:rPr>
          <w:rFonts w:ascii="Calibri" w:hAnsi="Calibri" w:cs="Calibri"/>
          <w:b/>
          <w:bCs/>
          <w:sz w:val="24"/>
          <w:szCs w:val="24"/>
          <w:lang w:val="en-MY"/>
        </w:rPr>
      </w:pPr>
    </w:p>
    <w:p w14:paraId="1D9F5209" w14:textId="35B3CD65" w:rsidR="00B23396" w:rsidRPr="00B23396" w:rsidRDefault="00B23396" w:rsidP="00B23396">
      <w:pPr>
        <w:spacing w:after="0" w:line="240" w:lineRule="auto"/>
        <w:jc w:val="both"/>
        <w:outlineLvl w:val="3"/>
        <w:rPr>
          <w:rFonts w:ascii="Calibri" w:hAnsi="Calibri" w:cs="Calibri"/>
          <w:i/>
          <w:iCs/>
          <w:sz w:val="24"/>
          <w:szCs w:val="24"/>
        </w:rPr>
      </w:pPr>
      <w:r w:rsidRPr="00B23396">
        <w:rPr>
          <w:rFonts w:ascii="Calibri" w:hAnsi="Calibri" w:cs="Calibri"/>
          <w:i/>
          <w:iCs/>
          <w:sz w:val="24"/>
          <w:szCs w:val="24"/>
          <w:lang w:val="en-MY"/>
        </w:rPr>
        <w:t xml:space="preserve">Theme 4: </w:t>
      </w:r>
      <w:r w:rsidRPr="00B23396">
        <w:rPr>
          <w:rFonts w:ascii="Calibri" w:hAnsi="Calibri" w:cs="Calibri"/>
          <w:i/>
          <w:iCs/>
          <w:sz w:val="24"/>
          <w:szCs w:val="24"/>
        </w:rPr>
        <w:t>Environmental Sustainability and Waqf</w:t>
      </w:r>
    </w:p>
    <w:p w14:paraId="13FDD6F3" w14:textId="77777777" w:rsidR="00B23396" w:rsidRPr="00000592" w:rsidRDefault="00B23396" w:rsidP="00B23396">
      <w:pPr>
        <w:spacing w:after="0" w:line="240" w:lineRule="auto"/>
        <w:jc w:val="both"/>
        <w:outlineLvl w:val="3"/>
        <w:rPr>
          <w:rFonts w:ascii="Calibri" w:hAnsi="Calibri" w:cs="Calibri"/>
          <w:b/>
          <w:bCs/>
          <w:sz w:val="24"/>
          <w:szCs w:val="24"/>
        </w:rPr>
      </w:pPr>
    </w:p>
    <w:p w14:paraId="0C2BF083" w14:textId="77777777" w:rsidR="00B23396" w:rsidRPr="00000592" w:rsidRDefault="00B23396" w:rsidP="00B23396">
      <w:pPr>
        <w:spacing w:after="0" w:line="240" w:lineRule="auto"/>
        <w:jc w:val="center"/>
        <w:rPr>
          <w:rFonts w:ascii="Calibri" w:hAnsi="Calibri" w:cs="Calibri"/>
          <w:b/>
          <w:bCs/>
          <w:sz w:val="24"/>
          <w:szCs w:val="24"/>
          <w:lang w:val="en-MY"/>
        </w:rPr>
      </w:pPr>
      <w:r w:rsidRPr="00000592">
        <w:rPr>
          <w:rFonts w:ascii="Calibri" w:hAnsi="Calibri" w:cs="Calibri"/>
          <w:noProof/>
          <w:sz w:val="24"/>
          <w:szCs w:val="24"/>
        </w:rPr>
        <w:drawing>
          <wp:inline distT="0" distB="0" distL="0" distR="0" wp14:anchorId="16F5EFF3" wp14:editId="74030249">
            <wp:extent cx="5730240" cy="3829050"/>
            <wp:effectExtent l="0" t="0" r="3810" b="0"/>
            <wp:docPr id="1696098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98011" name=""/>
                    <pic:cNvPicPr/>
                  </pic:nvPicPr>
                  <pic:blipFill>
                    <a:blip r:embed="rId18"/>
                    <a:stretch>
                      <a:fillRect/>
                    </a:stretch>
                  </pic:blipFill>
                  <pic:spPr>
                    <a:xfrm>
                      <a:off x="0" y="0"/>
                      <a:ext cx="5740889" cy="3836166"/>
                    </a:xfrm>
                    <a:prstGeom prst="rect">
                      <a:avLst/>
                    </a:prstGeom>
                  </pic:spPr>
                </pic:pic>
              </a:graphicData>
            </a:graphic>
          </wp:inline>
        </w:drawing>
      </w:r>
    </w:p>
    <w:p w14:paraId="4474CD51" w14:textId="77777777" w:rsidR="00B23396" w:rsidRPr="00B23396" w:rsidRDefault="00B23396" w:rsidP="00B23396">
      <w:pPr>
        <w:pBdr>
          <w:top w:val="nil"/>
          <w:left w:val="nil"/>
          <w:bottom w:val="nil"/>
          <w:right w:val="nil"/>
          <w:between w:val="nil"/>
        </w:pBdr>
        <w:spacing w:after="0" w:line="240" w:lineRule="auto"/>
        <w:rPr>
          <w:rFonts w:ascii="Calibri" w:hAnsi="Calibri" w:cs="Calibri"/>
          <w:iCs/>
          <w:sz w:val="24"/>
          <w:szCs w:val="24"/>
        </w:rPr>
      </w:pPr>
      <w:r w:rsidRPr="00B23396">
        <w:rPr>
          <w:rFonts w:ascii="Calibri" w:hAnsi="Calibri" w:cs="Calibri"/>
          <w:iCs/>
          <w:sz w:val="24"/>
          <w:szCs w:val="24"/>
        </w:rPr>
        <w:t>Figure 11: Theme 4: Environmental Sustainability and Waqf</w:t>
      </w:r>
    </w:p>
    <w:p w14:paraId="4C286343" w14:textId="77777777" w:rsidR="00B23396" w:rsidRDefault="00B23396" w:rsidP="00B23396">
      <w:pPr>
        <w:spacing w:after="0" w:line="240" w:lineRule="auto"/>
        <w:jc w:val="both"/>
        <w:rPr>
          <w:rFonts w:ascii="Calibri" w:hAnsi="Calibri" w:cs="Calibri"/>
          <w:sz w:val="24"/>
          <w:szCs w:val="24"/>
          <w:lang w:val="en-MY"/>
        </w:rPr>
      </w:pPr>
    </w:p>
    <w:p w14:paraId="0CB688F7" w14:textId="2075396A" w:rsidR="00B23396" w:rsidRDefault="00B23396" w:rsidP="00B23396">
      <w:pPr>
        <w:spacing w:after="0" w:line="240" w:lineRule="auto"/>
        <w:jc w:val="both"/>
        <w:rPr>
          <w:rFonts w:ascii="Calibri" w:hAnsi="Calibri" w:cs="Calibri"/>
          <w:sz w:val="24"/>
          <w:szCs w:val="24"/>
          <w:lang w:val="en-MY"/>
        </w:rPr>
      </w:pPr>
      <w:r w:rsidRPr="00000592">
        <w:rPr>
          <w:rFonts w:ascii="Calibri" w:hAnsi="Calibri" w:cs="Calibri"/>
          <w:sz w:val="24"/>
          <w:szCs w:val="24"/>
          <w:lang w:val="en-MY"/>
        </w:rPr>
        <w:lastRenderedPageBreak/>
        <w:t xml:space="preserve">The overarching themes illustrated above encapsulate the proposed framework, relating to the articles on this theme, as shown in Figure 11. This demonstrates the increasing recognition as a vital tool for promoting environmental sustainability. By incorporating ecological conservation into its framework, waqf expands its traditional role to tackle modern environmental challenges. Anas (2020) investigated the integration of green strategies in private </w:t>
      </w:r>
      <w:proofErr w:type="spellStart"/>
      <w:r w:rsidRPr="00000592">
        <w:rPr>
          <w:rFonts w:ascii="Calibri" w:hAnsi="Calibri" w:cs="Calibri"/>
          <w:sz w:val="24"/>
          <w:szCs w:val="24"/>
          <w:lang w:val="en-MY"/>
        </w:rPr>
        <w:t>Tahfiz</w:t>
      </w:r>
      <w:proofErr w:type="spellEnd"/>
      <w:r w:rsidRPr="00000592">
        <w:rPr>
          <w:rFonts w:ascii="Calibri" w:hAnsi="Calibri" w:cs="Calibri"/>
          <w:sz w:val="24"/>
          <w:szCs w:val="24"/>
          <w:lang w:val="en-MY"/>
        </w:rPr>
        <w:t xml:space="preserve"> institutions in Malaysia, proposing a model that combines religious endowments with ecological stewardship. This innovative approach ensures these institutions' financial sustainability and highlights their contribution to fostering ecological responsibility. Similarly, Jannah (2020, 2024) examined the legal frameworks and strategic location criteria of waqf forests in Indonesia, showcasing their potential as essential assets for environmental preservation and community resilience. These studies illustrate waqf's adaptability in supporting green initiatives, harmonising its spiritual mission with ecological goals.</w:t>
      </w:r>
    </w:p>
    <w:p w14:paraId="17D51439" w14:textId="77777777" w:rsidR="00B23396" w:rsidRPr="00000592" w:rsidRDefault="00B23396" w:rsidP="00B23396">
      <w:pPr>
        <w:spacing w:after="0" w:line="240" w:lineRule="auto"/>
        <w:jc w:val="both"/>
        <w:rPr>
          <w:rFonts w:ascii="Calibri" w:hAnsi="Calibri" w:cs="Calibri"/>
          <w:sz w:val="24"/>
          <w:szCs w:val="24"/>
          <w:lang w:val="en-MY"/>
        </w:rPr>
      </w:pPr>
    </w:p>
    <w:p w14:paraId="51B1281F" w14:textId="77777777" w:rsidR="00B23396" w:rsidRDefault="00B23396" w:rsidP="00B23396">
      <w:pPr>
        <w:spacing w:after="0" w:line="240" w:lineRule="auto"/>
        <w:jc w:val="both"/>
        <w:rPr>
          <w:rFonts w:ascii="Calibri" w:hAnsi="Calibri" w:cs="Calibri"/>
          <w:sz w:val="24"/>
          <w:szCs w:val="24"/>
          <w:lang w:val="en-MY"/>
        </w:rPr>
      </w:pPr>
      <w:r w:rsidRPr="00000592">
        <w:rPr>
          <w:rFonts w:ascii="Calibri" w:hAnsi="Calibri" w:cs="Calibri"/>
          <w:sz w:val="24"/>
          <w:szCs w:val="24"/>
          <w:lang w:val="en-MY"/>
        </w:rPr>
        <w:t xml:space="preserve">The tangible impact of waqf on environmental sustainability is further demonstrated through practical applications in agriculture and grassroots contexts. Afroz (2019) presented an empirical study of rice farmers in Malaysia's Kedah region, revealing how integrated cash waqf models promote environmentally friendly farming practices. This approach not only bolsters ecological sustainability but also improves the livelihoods of local communities. Another study by </w:t>
      </w:r>
      <w:proofErr w:type="spellStart"/>
      <w:r w:rsidRPr="00000592">
        <w:rPr>
          <w:rFonts w:ascii="Calibri" w:hAnsi="Calibri" w:cs="Calibri"/>
          <w:sz w:val="24"/>
          <w:szCs w:val="24"/>
          <w:lang w:val="en-MY"/>
        </w:rPr>
        <w:t>Robani</w:t>
      </w:r>
      <w:proofErr w:type="spellEnd"/>
      <w:r w:rsidRPr="00000592">
        <w:rPr>
          <w:rFonts w:ascii="Calibri" w:hAnsi="Calibri" w:cs="Calibri"/>
          <w:sz w:val="24"/>
          <w:szCs w:val="24"/>
          <w:lang w:val="en-MY"/>
        </w:rPr>
        <w:t xml:space="preserve"> (2018) has enriched this discourse by exploring the role of Islamic gift economies in sustainable development at the grassroots level. His analysis emphasised waqf's potential to tackle contemporary environmental challenges while enhancing socio-economic resilience within Muslim communities. Findings from these studies affirm that, when managed innovatively, waqf can serve as a powerful mechanism for advancing ecological conservation, sustainable livelihoods, and holistic development. The intersection of waqf and environmental sustainability underscores the endowment’s ability to meet modern ecological challenges while preserving its traditional spiritual purpose. By integrating green strategies, legal frameworks, and innovative models, waqf initiatives play a significant role in fostering environmental conservation, community resilience, and sustainable development. </w:t>
      </w:r>
    </w:p>
    <w:p w14:paraId="0A6F1DFE" w14:textId="77777777" w:rsidR="00B23396" w:rsidRPr="00000592" w:rsidRDefault="00B23396" w:rsidP="00B23396">
      <w:pPr>
        <w:spacing w:after="0" w:line="240" w:lineRule="auto"/>
        <w:jc w:val="both"/>
        <w:rPr>
          <w:rFonts w:ascii="Calibri" w:hAnsi="Calibri" w:cs="Calibri"/>
          <w:sz w:val="24"/>
          <w:szCs w:val="24"/>
        </w:rPr>
      </w:pPr>
    </w:p>
    <w:p w14:paraId="145D168A" w14:textId="63DE4CE6" w:rsidR="00B23396" w:rsidRPr="00B23396" w:rsidRDefault="00B23396" w:rsidP="00B23396">
      <w:pPr>
        <w:spacing w:after="0" w:line="240" w:lineRule="auto"/>
        <w:jc w:val="both"/>
        <w:outlineLvl w:val="3"/>
        <w:rPr>
          <w:rFonts w:ascii="Calibri" w:hAnsi="Calibri" w:cs="Calibri"/>
          <w:bCs/>
          <w:i/>
          <w:iCs/>
          <w:sz w:val="24"/>
          <w:szCs w:val="24"/>
        </w:rPr>
      </w:pPr>
      <w:r w:rsidRPr="00B23396">
        <w:rPr>
          <w:rFonts w:ascii="Calibri" w:hAnsi="Calibri" w:cs="Calibri"/>
          <w:bCs/>
          <w:i/>
          <w:iCs/>
          <w:sz w:val="24"/>
          <w:szCs w:val="24"/>
        </w:rPr>
        <w:t>Theme 5: Governance and Legal Frameworks</w:t>
      </w:r>
    </w:p>
    <w:p w14:paraId="5236677A" w14:textId="77777777" w:rsidR="00B23396" w:rsidRPr="00000592" w:rsidRDefault="00B23396" w:rsidP="00B23396">
      <w:pPr>
        <w:spacing w:after="0" w:line="240" w:lineRule="auto"/>
        <w:jc w:val="both"/>
        <w:rPr>
          <w:rFonts w:ascii="Calibri" w:hAnsi="Calibri" w:cs="Calibri"/>
          <w:bCs/>
          <w:sz w:val="24"/>
          <w:szCs w:val="24"/>
          <w:lang w:val="en-MY"/>
        </w:rPr>
      </w:pPr>
      <w:r w:rsidRPr="00000592">
        <w:rPr>
          <w:rFonts w:ascii="Calibri" w:hAnsi="Calibri" w:cs="Calibri"/>
          <w:bCs/>
          <w:sz w:val="24"/>
          <w:szCs w:val="24"/>
          <w:lang w:val="en-MY"/>
        </w:rPr>
        <w:t xml:space="preserve">Governance and legal frameworks are essential for ensuring waqf assets' sustainability and effective management. These frameworks protect the integrity of waqf operations and promote transparency, accountability, and alignment with Shariah principles. Sipan et al. (2021) addressed challenges in waqf tenancy management, particularly concerning tenancy agreements, rental determinations, and enforcement. By proposing solutions aligned with Shariah principles, this study underscores the necessity of robust governance in waqf tenancy to ensure sustainability and long-term growth. Likewise, </w:t>
      </w:r>
      <w:proofErr w:type="spellStart"/>
      <w:r w:rsidRPr="00000592">
        <w:rPr>
          <w:rFonts w:ascii="Calibri" w:hAnsi="Calibri" w:cs="Calibri"/>
          <w:bCs/>
          <w:sz w:val="24"/>
          <w:szCs w:val="24"/>
          <w:lang w:val="en-MY"/>
        </w:rPr>
        <w:t>Sapuan</w:t>
      </w:r>
      <w:proofErr w:type="spellEnd"/>
      <w:r w:rsidRPr="00000592">
        <w:rPr>
          <w:rFonts w:ascii="Calibri" w:hAnsi="Calibri" w:cs="Calibri"/>
          <w:bCs/>
          <w:sz w:val="24"/>
          <w:szCs w:val="24"/>
          <w:lang w:val="en-MY"/>
        </w:rPr>
        <w:t xml:space="preserve"> and Zeni (2021) employed partial least squares-structured equation modelling (PLS-SEM) to demonstrate that effective waqf management significantly impacts the sustainability of waqf institutions. Their findings highlight the importance of structured governance mechanisms in promoting the longevity and effectiveness of waqf. The figure below illustrates Theme 5: Governance and Legal Frameworks and further highlights the findings from each article within this theme.</w:t>
      </w:r>
    </w:p>
    <w:p w14:paraId="0C2C87C5" w14:textId="77777777" w:rsidR="00B23396" w:rsidRPr="00000592" w:rsidRDefault="00B23396" w:rsidP="00B23396">
      <w:pPr>
        <w:spacing w:after="0" w:line="240" w:lineRule="auto"/>
        <w:jc w:val="both"/>
        <w:rPr>
          <w:rFonts w:ascii="Calibri" w:hAnsi="Calibri" w:cs="Calibri"/>
          <w:bCs/>
          <w:sz w:val="24"/>
          <w:szCs w:val="24"/>
          <w:lang w:val="en-MY"/>
        </w:rPr>
      </w:pPr>
    </w:p>
    <w:p w14:paraId="63CFDEF0" w14:textId="3DD56368" w:rsidR="00B23396" w:rsidRPr="00000592" w:rsidRDefault="00B23396" w:rsidP="00B23396">
      <w:pPr>
        <w:spacing w:after="0" w:line="240" w:lineRule="auto"/>
        <w:jc w:val="center"/>
        <w:rPr>
          <w:rFonts w:ascii="Calibri" w:hAnsi="Calibri" w:cs="Calibri"/>
          <w:bCs/>
          <w:sz w:val="24"/>
          <w:szCs w:val="24"/>
          <w:lang w:val="en-MY"/>
        </w:rPr>
      </w:pPr>
      <w:r w:rsidRPr="00000592">
        <w:rPr>
          <w:rFonts w:ascii="Calibri" w:hAnsi="Calibri" w:cs="Calibri"/>
          <w:noProof/>
          <w:sz w:val="24"/>
          <w:szCs w:val="24"/>
        </w:rPr>
        <w:lastRenderedPageBreak/>
        <w:drawing>
          <wp:inline distT="0" distB="0" distL="0" distR="0" wp14:anchorId="327B8F86" wp14:editId="493DDBD3">
            <wp:extent cx="5731510" cy="3981450"/>
            <wp:effectExtent l="0" t="0" r="2540" b="0"/>
            <wp:docPr id="1303190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90570" name=""/>
                    <pic:cNvPicPr/>
                  </pic:nvPicPr>
                  <pic:blipFill>
                    <a:blip r:embed="rId19"/>
                    <a:stretch>
                      <a:fillRect/>
                    </a:stretch>
                  </pic:blipFill>
                  <pic:spPr>
                    <a:xfrm>
                      <a:off x="0" y="0"/>
                      <a:ext cx="5731510" cy="3981450"/>
                    </a:xfrm>
                    <a:prstGeom prst="rect">
                      <a:avLst/>
                    </a:prstGeom>
                  </pic:spPr>
                </pic:pic>
              </a:graphicData>
            </a:graphic>
          </wp:inline>
        </w:drawing>
      </w:r>
    </w:p>
    <w:p w14:paraId="38A876CD" w14:textId="77777777" w:rsidR="00B23396" w:rsidRPr="00000592" w:rsidRDefault="00B23396" w:rsidP="00B23396">
      <w:pPr>
        <w:pBdr>
          <w:top w:val="nil"/>
          <w:left w:val="nil"/>
          <w:bottom w:val="nil"/>
          <w:right w:val="nil"/>
          <w:between w:val="nil"/>
        </w:pBdr>
        <w:spacing w:after="0" w:line="240" w:lineRule="auto"/>
        <w:jc w:val="center"/>
        <w:rPr>
          <w:rFonts w:ascii="Calibri" w:hAnsi="Calibri" w:cs="Calibri"/>
          <w:b/>
          <w:bCs/>
          <w:sz w:val="24"/>
          <w:szCs w:val="24"/>
          <w:lang w:val="en-MY"/>
        </w:rPr>
      </w:pPr>
      <w:r w:rsidRPr="00000592">
        <w:rPr>
          <w:rFonts w:ascii="Calibri" w:hAnsi="Calibri" w:cs="Calibri"/>
          <w:bCs/>
          <w:sz w:val="24"/>
          <w:szCs w:val="24"/>
          <w:lang w:val="en-MY"/>
        </w:rPr>
        <w:t xml:space="preserve"> </w:t>
      </w:r>
    </w:p>
    <w:p w14:paraId="3E535BC2" w14:textId="77777777" w:rsidR="00B23396" w:rsidRPr="00B23396" w:rsidRDefault="00B23396" w:rsidP="00B23396">
      <w:pPr>
        <w:pBdr>
          <w:top w:val="nil"/>
          <w:left w:val="nil"/>
          <w:bottom w:val="nil"/>
          <w:right w:val="nil"/>
          <w:between w:val="nil"/>
        </w:pBdr>
        <w:spacing w:after="0" w:line="240" w:lineRule="auto"/>
        <w:rPr>
          <w:rFonts w:ascii="Calibri" w:hAnsi="Calibri" w:cs="Calibri"/>
          <w:iCs/>
          <w:sz w:val="24"/>
          <w:szCs w:val="24"/>
        </w:rPr>
      </w:pPr>
      <w:r w:rsidRPr="00B23396">
        <w:rPr>
          <w:rFonts w:ascii="Calibri" w:hAnsi="Calibri" w:cs="Calibri"/>
          <w:iCs/>
          <w:sz w:val="24"/>
          <w:szCs w:val="24"/>
        </w:rPr>
        <w:t>Figure 11: Theme 5: Governance and Legal Frameworks</w:t>
      </w:r>
    </w:p>
    <w:p w14:paraId="31E2799B" w14:textId="77777777" w:rsidR="00B23396" w:rsidRPr="00000592" w:rsidRDefault="00B23396" w:rsidP="00B23396">
      <w:pPr>
        <w:spacing w:after="0" w:line="240" w:lineRule="auto"/>
        <w:jc w:val="both"/>
        <w:rPr>
          <w:rFonts w:ascii="Calibri" w:hAnsi="Calibri" w:cs="Calibri"/>
          <w:bCs/>
          <w:sz w:val="24"/>
          <w:szCs w:val="24"/>
          <w:lang w:val="en-MY"/>
        </w:rPr>
      </w:pPr>
    </w:p>
    <w:p w14:paraId="585FEEB2" w14:textId="77777777" w:rsidR="00B23396" w:rsidRPr="00000592" w:rsidRDefault="00B23396" w:rsidP="00B23396">
      <w:pPr>
        <w:spacing w:after="0" w:line="240" w:lineRule="auto"/>
        <w:jc w:val="both"/>
        <w:rPr>
          <w:rFonts w:ascii="Calibri" w:hAnsi="Calibri" w:cs="Calibri"/>
          <w:bCs/>
          <w:sz w:val="24"/>
          <w:szCs w:val="24"/>
          <w:lang w:val="en-MY"/>
        </w:rPr>
      </w:pPr>
      <w:r w:rsidRPr="00000592">
        <w:rPr>
          <w:rFonts w:ascii="Calibri" w:hAnsi="Calibri" w:cs="Calibri"/>
          <w:bCs/>
          <w:sz w:val="24"/>
          <w:szCs w:val="24"/>
          <w:lang w:val="en-MY"/>
        </w:rPr>
        <w:t xml:space="preserve">The implementation of corporatised platforms and professional management systems further strengthens waqf governance. </w:t>
      </w:r>
      <w:proofErr w:type="spellStart"/>
      <w:r w:rsidRPr="00000592">
        <w:rPr>
          <w:rFonts w:ascii="Calibri" w:hAnsi="Calibri" w:cs="Calibri"/>
          <w:bCs/>
          <w:sz w:val="24"/>
          <w:szCs w:val="24"/>
          <w:lang w:val="en-MY"/>
        </w:rPr>
        <w:t>Awaludin</w:t>
      </w:r>
      <w:proofErr w:type="spellEnd"/>
      <w:r w:rsidRPr="00000592">
        <w:rPr>
          <w:rFonts w:ascii="Calibri" w:hAnsi="Calibri" w:cs="Calibri"/>
          <w:bCs/>
          <w:sz w:val="24"/>
          <w:szCs w:val="24"/>
          <w:lang w:val="en-MY"/>
        </w:rPr>
        <w:t xml:space="preserve"> et al. (2018) demonstrated that governance practices in corporatised waqf entities exhibit greater efficiency and transparency than traditional setups. The study identifies potential improvements in </w:t>
      </w:r>
      <w:proofErr w:type="spellStart"/>
      <w:r w:rsidRPr="00000592">
        <w:rPr>
          <w:rFonts w:ascii="Calibri" w:hAnsi="Calibri" w:cs="Calibri"/>
          <w:bCs/>
          <w:sz w:val="24"/>
          <w:szCs w:val="24"/>
          <w:lang w:val="en-MY"/>
        </w:rPr>
        <w:t>mutawallī</w:t>
      </w:r>
      <w:proofErr w:type="spellEnd"/>
      <w:r w:rsidRPr="00000592">
        <w:rPr>
          <w:rFonts w:ascii="Calibri" w:hAnsi="Calibri" w:cs="Calibri"/>
          <w:bCs/>
          <w:sz w:val="24"/>
          <w:szCs w:val="24"/>
          <w:lang w:val="en-MY"/>
        </w:rPr>
        <w:t xml:space="preserve"> (waqf trustee) governance disclosures, providing a pathway for enhancing operational effectiveness. Huda and Santoso (2022) offered complementary insights, showcasing the success of corporate waqf models in Indonesia. Through professional management of productive waqf assets, these models generate sustainable benefits and accelerate economic development. However, the study noted that implementing certain waqf models, such as those involving shares as waqf assets, requires further refinement to optimise outcomes.</w:t>
      </w:r>
    </w:p>
    <w:p w14:paraId="73551620" w14:textId="77777777" w:rsidR="00B23396" w:rsidRPr="00000592" w:rsidRDefault="00B23396" w:rsidP="00B23396">
      <w:pPr>
        <w:spacing w:after="0" w:line="240" w:lineRule="auto"/>
        <w:jc w:val="both"/>
        <w:rPr>
          <w:rFonts w:ascii="Calibri" w:hAnsi="Calibri" w:cs="Calibri"/>
          <w:bCs/>
          <w:sz w:val="24"/>
          <w:szCs w:val="24"/>
          <w:lang w:val="en-MY"/>
        </w:rPr>
      </w:pPr>
    </w:p>
    <w:p w14:paraId="223EC64F" w14:textId="77777777" w:rsidR="00B23396" w:rsidRPr="00000592" w:rsidRDefault="00B23396" w:rsidP="00B23396">
      <w:pPr>
        <w:spacing w:after="0" w:line="240" w:lineRule="auto"/>
        <w:jc w:val="both"/>
        <w:rPr>
          <w:rFonts w:ascii="Calibri" w:hAnsi="Calibri" w:cs="Calibri"/>
          <w:bCs/>
          <w:sz w:val="24"/>
          <w:szCs w:val="24"/>
          <w:lang w:val="en-MY"/>
        </w:rPr>
      </w:pPr>
      <w:r w:rsidRPr="00000592">
        <w:rPr>
          <w:rFonts w:ascii="Calibri" w:hAnsi="Calibri" w:cs="Calibri"/>
          <w:bCs/>
          <w:sz w:val="24"/>
          <w:szCs w:val="24"/>
          <w:lang w:val="en-MY"/>
        </w:rPr>
        <w:t>Legal frameworks are integral in advancing waqf institutions toward achieving sustainable development goals. Zawawi et al. (2023) examined the Sustainable Waqf Law in Saudi Arabia and Indonesia, highlighting its contributions to education, poverty reduction, and hunger alleviation. The law has enabled waqf institutions to align with United Nations Sustainable Development Goals, particularly those related to clean water, decent work, and sustainable communities. This study underscores the importance of involving multiple stakeholders, including governments, communities, and waqf institutions, in managing waqf assets to maximise their societal impact. Integrating governance and legal frameworks in waqf management is essential for ensuring waqf operations' sustainability, transparency, and accountability. The insights highlight the need to reinforce the pivotal role of governance and legal mechanisms in advancing waqf as a tool for sustainable economic, social, and environmental development.</w:t>
      </w:r>
    </w:p>
    <w:p w14:paraId="3DCE1336" w14:textId="1EF3E630" w:rsidR="00B23396" w:rsidRPr="00B23396" w:rsidRDefault="00B23396" w:rsidP="00B23396">
      <w:pPr>
        <w:spacing w:after="0" w:line="240" w:lineRule="auto"/>
        <w:jc w:val="both"/>
        <w:rPr>
          <w:rFonts w:ascii="Calibri" w:hAnsi="Calibri" w:cs="Calibri"/>
          <w:b/>
          <w:sz w:val="24"/>
          <w:szCs w:val="24"/>
          <w:lang w:val="en-MY"/>
        </w:rPr>
      </w:pPr>
      <w:r w:rsidRPr="00000592">
        <w:rPr>
          <w:rFonts w:ascii="Calibri" w:hAnsi="Calibri" w:cs="Calibri"/>
          <w:b/>
          <w:sz w:val="24"/>
          <w:szCs w:val="24"/>
          <w:lang w:val="en-MY"/>
        </w:rPr>
        <w:lastRenderedPageBreak/>
        <w:t>Conclusion</w:t>
      </w:r>
    </w:p>
    <w:bookmarkEnd w:id="20"/>
    <w:p w14:paraId="25C3D66F" w14:textId="77777777" w:rsidR="00B23396" w:rsidRDefault="00B23396" w:rsidP="00B23396">
      <w:pPr>
        <w:spacing w:after="0" w:line="240" w:lineRule="auto"/>
        <w:jc w:val="both"/>
        <w:rPr>
          <w:rFonts w:ascii="Calibri" w:hAnsi="Calibri" w:cs="Calibri"/>
          <w:bCs/>
          <w:sz w:val="24"/>
          <w:szCs w:val="24"/>
          <w:lang w:val="en-MY"/>
        </w:rPr>
      </w:pPr>
      <w:r w:rsidRPr="00000592">
        <w:rPr>
          <w:rFonts w:ascii="Calibri" w:hAnsi="Calibri" w:cs="Calibri"/>
          <w:bCs/>
          <w:sz w:val="24"/>
          <w:szCs w:val="24"/>
          <w:lang w:val="en-MY"/>
        </w:rPr>
        <w:t xml:space="preserve">This thematic review has underscored the multifaceted role of waqf in promoting sustainability and addressing contemporary socio-economic and environmental challenges. Innovative models, such as cash waqf and the integration of microfinance, enhance financial sustainability while optimising resources and alleviating poverty (Nik Ahmad et al., 2019; Razak, 2020; Ibrahim et al., 2021). Historical frameworks, exemplified by the Ottoman-era cash waqf, have illustrated the waqf’s capacity for generating long-term economic impact (Bulut, 2020).  Meanwhile, modern initiatives, including the Integrated Cash Waqf Social Enterprise Business model, have aligned waqf with sustainable development goals (Fauziah, 2021). </w:t>
      </w:r>
    </w:p>
    <w:p w14:paraId="53336760" w14:textId="77777777" w:rsidR="00B23396" w:rsidRPr="00000592" w:rsidRDefault="00B23396" w:rsidP="00B23396">
      <w:pPr>
        <w:spacing w:after="0" w:line="240" w:lineRule="auto"/>
        <w:jc w:val="both"/>
        <w:rPr>
          <w:rFonts w:ascii="Calibri" w:hAnsi="Calibri" w:cs="Calibri"/>
          <w:bCs/>
          <w:sz w:val="24"/>
          <w:szCs w:val="24"/>
          <w:lang w:val="en-MY"/>
        </w:rPr>
      </w:pPr>
    </w:p>
    <w:p w14:paraId="650635AA" w14:textId="77777777" w:rsidR="00B23396" w:rsidRDefault="00B23396" w:rsidP="00B23396">
      <w:pPr>
        <w:spacing w:after="0" w:line="240" w:lineRule="auto"/>
        <w:jc w:val="both"/>
        <w:rPr>
          <w:rFonts w:ascii="Calibri" w:hAnsi="Calibri" w:cs="Calibri"/>
          <w:bCs/>
          <w:sz w:val="24"/>
          <w:szCs w:val="24"/>
          <w:lang w:val="en-MY"/>
        </w:rPr>
      </w:pPr>
      <w:r w:rsidRPr="00000592">
        <w:rPr>
          <w:rFonts w:ascii="Calibri" w:hAnsi="Calibri" w:cs="Calibri"/>
          <w:bCs/>
          <w:sz w:val="24"/>
          <w:szCs w:val="24"/>
          <w:lang w:val="en-MY"/>
        </w:rPr>
        <w:t xml:space="preserve">Furthermore, waqf also plays a crucial role in community empowerment and social welfare by supporting marginalised groups and enhancing family economic stability (Asiah, 2018). Initiatives within </w:t>
      </w:r>
      <w:proofErr w:type="spellStart"/>
      <w:r w:rsidRPr="00000592">
        <w:rPr>
          <w:rFonts w:ascii="Calibri" w:hAnsi="Calibri" w:cs="Calibri"/>
          <w:bCs/>
          <w:sz w:val="24"/>
          <w:szCs w:val="24"/>
          <w:lang w:val="en-MY"/>
        </w:rPr>
        <w:t>pesantren</w:t>
      </w:r>
      <w:proofErr w:type="spellEnd"/>
      <w:r w:rsidRPr="00000592">
        <w:rPr>
          <w:rFonts w:ascii="Calibri" w:hAnsi="Calibri" w:cs="Calibri"/>
          <w:bCs/>
          <w:sz w:val="24"/>
          <w:szCs w:val="24"/>
          <w:lang w:val="en-MY"/>
        </w:rPr>
        <w:t xml:space="preserve"> and crowdfunded waqf projects promote education and grassroots development (Winarsih et al., 2019; Mohd Ali et al., 2023). Furthermore, waqf involves small and medium-sized enterprises (SMEs), which leads to the formation of inclusive communities (Rochani et al., 2022; Laila et al., 2023). </w:t>
      </w:r>
    </w:p>
    <w:p w14:paraId="20BD4DBD" w14:textId="77777777" w:rsidR="00B23396" w:rsidRPr="00000592" w:rsidRDefault="00B23396" w:rsidP="00B23396">
      <w:pPr>
        <w:spacing w:after="0" w:line="240" w:lineRule="auto"/>
        <w:jc w:val="both"/>
        <w:rPr>
          <w:rFonts w:ascii="Calibri" w:hAnsi="Calibri" w:cs="Calibri"/>
          <w:bCs/>
          <w:sz w:val="24"/>
          <w:szCs w:val="24"/>
          <w:lang w:val="en-MY"/>
        </w:rPr>
      </w:pPr>
    </w:p>
    <w:p w14:paraId="73580A1B" w14:textId="77777777" w:rsidR="00B23396" w:rsidRDefault="00B23396" w:rsidP="00B23396">
      <w:pPr>
        <w:spacing w:after="0" w:line="240" w:lineRule="auto"/>
        <w:jc w:val="both"/>
        <w:rPr>
          <w:rFonts w:ascii="Calibri" w:hAnsi="Calibri" w:cs="Calibri"/>
          <w:bCs/>
          <w:sz w:val="24"/>
          <w:szCs w:val="24"/>
          <w:lang w:val="en-MY"/>
        </w:rPr>
      </w:pPr>
      <w:r w:rsidRPr="00000592">
        <w:rPr>
          <w:rFonts w:ascii="Calibri" w:hAnsi="Calibri" w:cs="Calibri"/>
          <w:bCs/>
          <w:sz w:val="24"/>
          <w:szCs w:val="24"/>
          <w:lang w:val="en-MY"/>
        </w:rPr>
        <w:t xml:space="preserve">In addition, innovative waqf models and governance frameworks broaden their impact by incorporating modern financial instruments and ensuring transparency and compliance with Shariah principles (Sipan et al., 2021; </w:t>
      </w:r>
      <w:proofErr w:type="spellStart"/>
      <w:r w:rsidRPr="00000592">
        <w:rPr>
          <w:rFonts w:ascii="Calibri" w:hAnsi="Calibri" w:cs="Calibri"/>
          <w:bCs/>
          <w:sz w:val="24"/>
          <w:szCs w:val="24"/>
          <w:lang w:val="en-MY"/>
        </w:rPr>
        <w:t>Sapuan</w:t>
      </w:r>
      <w:proofErr w:type="spellEnd"/>
      <w:r w:rsidRPr="00000592">
        <w:rPr>
          <w:rFonts w:ascii="Calibri" w:hAnsi="Calibri" w:cs="Calibri"/>
          <w:bCs/>
          <w:sz w:val="24"/>
          <w:szCs w:val="24"/>
          <w:lang w:val="en-MY"/>
        </w:rPr>
        <w:t xml:space="preserve"> &amp; Zeni, 2021). The Sustainable Waqf Law further reinforces alignment with development objectives and encourages multi-stakeholder collaboration (Zawawi et al., 2023). These themes collectively illustrate that waqf is a powerful tool for advancing sustainability in contemporary society.</w:t>
      </w:r>
    </w:p>
    <w:p w14:paraId="7C57C88B" w14:textId="77777777" w:rsidR="00B23396" w:rsidRDefault="00B23396" w:rsidP="00B23396">
      <w:pPr>
        <w:spacing w:after="0" w:line="240" w:lineRule="auto"/>
        <w:jc w:val="both"/>
        <w:rPr>
          <w:rFonts w:ascii="Calibri" w:hAnsi="Calibri" w:cs="Calibri"/>
          <w:bCs/>
          <w:sz w:val="24"/>
          <w:szCs w:val="24"/>
          <w:lang w:val="en-MY"/>
        </w:rPr>
      </w:pPr>
    </w:p>
    <w:p w14:paraId="1F7E686A" w14:textId="20F12E0F" w:rsidR="00B23396" w:rsidRPr="00B23396" w:rsidRDefault="00B23396" w:rsidP="00B23396">
      <w:pPr>
        <w:spacing w:after="0" w:line="240" w:lineRule="auto"/>
        <w:jc w:val="both"/>
        <w:rPr>
          <w:rFonts w:ascii="Calibri" w:hAnsi="Calibri" w:cs="Calibri"/>
          <w:bCs/>
          <w:sz w:val="24"/>
          <w:szCs w:val="24"/>
          <w:lang w:val="en-MY"/>
        </w:rPr>
      </w:pPr>
      <w:r w:rsidRPr="00000592">
        <w:rPr>
          <w:rFonts w:ascii="Calibri" w:hAnsi="Calibri" w:cs="Calibri"/>
          <w:b/>
          <w:color w:val="000000"/>
          <w:sz w:val="24"/>
          <w:szCs w:val="24"/>
        </w:rPr>
        <w:t>Discussion and Future Studies</w:t>
      </w:r>
    </w:p>
    <w:p w14:paraId="4F786241" w14:textId="77777777" w:rsidR="00B23396" w:rsidRDefault="00B23396" w:rsidP="00B23396">
      <w:pPr>
        <w:pStyle w:val="NormalWeb"/>
        <w:spacing w:before="0" w:beforeAutospacing="0" w:after="0" w:afterAutospacing="0"/>
        <w:jc w:val="both"/>
        <w:rPr>
          <w:rFonts w:ascii="Calibri" w:eastAsia="Calibri" w:hAnsi="Calibri" w:cs="Calibri"/>
          <w:bCs/>
        </w:rPr>
      </w:pPr>
      <w:r w:rsidRPr="00000592">
        <w:rPr>
          <w:rFonts w:ascii="Calibri" w:eastAsia="Calibri" w:hAnsi="Calibri" w:cs="Calibri"/>
          <w:bCs/>
        </w:rPr>
        <w:t xml:space="preserve">The thematic review has underscored the transformative potential of waqf in tackling various sustainability challenges. Key elements such as financial sustainability and economic development are emphasised as foundational pillars. Moreover, innovative approaches like cash waqf and the integration of microfinance play a significant role in driving socio-economic growth and alleviating poverty (Nik Ahmad et al., 2019; Ibrahim et al., 2021). In terms of community empowerment and social welfare, waqf is essential in fostering inclusivity and uplifting marginalised groups (Asiah, 2018; </w:t>
      </w:r>
      <w:proofErr w:type="spellStart"/>
      <w:r w:rsidRPr="00000592">
        <w:rPr>
          <w:rFonts w:ascii="Calibri" w:eastAsia="Calibri" w:hAnsi="Calibri" w:cs="Calibri"/>
          <w:bCs/>
        </w:rPr>
        <w:t>Kusumaningtias</w:t>
      </w:r>
      <w:proofErr w:type="spellEnd"/>
      <w:r w:rsidRPr="00000592">
        <w:rPr>
          <w:rFonts w:ascii="Calibri" w:eastAsia="Calibri" w:hAnsi="Calibri" w:cs="Calibri"/>
          <w:bCs/>
        </w:rPr>
        <w:t xml:space="preserve">, 2019). Creative applications, including the implementation of productive waqf in </w:t>
      </w:r>
      <w:proofErr w:type="spellStart"/>
      <w:r w:rsidRPr="00000592">
        <w:rPr>
          <w:rFonts w:ascii="Calibri" w:eastAsia="Calibri" w:hAnsi="Calibri" w:cs="Calibri"/>
          <w:bCs/>
        </w:rPr>
        <w:t>pesantren</w:t>
      </w:r>
      <w:proofErr w:type="spellEnd"/>
      <w:r w:rsidRPr="00000592">
        <w:rPr>
          <w:rFonts w:ascii="Calibri" w:eastAsia="Calibri" w:hAnsi="Calibri" w:cs="Calibri"/>
          <w:bCs/>
        </w:rPr>
        <w:t xml:space="preserve"> (Islamic boarding schools) and agricultural initiatives, have made a noteworthy impact at the community level (Winarsih et al., 2019; Mohd Ali et al., 2023). The potential of waqf to facilitate shared urban spaces and encourage the engagement of small and medium-sized enterprises (SMEs) within contemporary urban and entrepreneurial ecosystems also deserves further </w:t>
      </w:r>
      <w:proofErr w:type="gramStart"/>
      <w:r w:rsidRPr="00000592">
        <w:rPr>
          <w:rFonts w:ascii="Calibri" w:eastAsia="Calibri" w:hAnsi="Calibri" w:cs="Calibri"/>
          <w:bCs/>
        </w:rPr>
        <w:t>investigation  (</w:t>
      </w:r>
      <w:proofErr w:type="gramEnd"/>
      <w:r w:rsidRPr="00000592">
        <w:rPr>
          <w:rFonts w:ascii="Calibri" w:eastAsia="Calibri" w:hAnsi="Calibri" w:cs="Calibri"/>
          <w:bCs/>
        </w:rPr>
        <w:t xml:space="preserve">Rochani et al., 2022; Laila et al., 2023). </w:t>
      </w:r>
    </w:p>
    <w:p w14:paraId="68026511" w14:textId="77777777" w:rsidR="00B23396" w:rsidRPr="00000592" w:rsidRDefault="00B23396" w:rsidP="00B23396">
      <w:pPr>
        <w:pStyle w:val="NormalWeb"/>
        <w:spacing w:before="0" w:beforeAutospacing="0" w:after="0" w:afterAutospacing="0"/>
        <w:jc w:val="both"/>
        <w:rPr>
          <w:rFonts w:ascii="Calibri" w:eastAsia="Calibri" w:hAnsi="Calibri" w:cs="Calibri"/>
          <w:bCs/>
        </w:rPr>
      </w:pPr>
    </w:p>
    <w:p w14:paraId="585E36D9" w14:textId="77777777" w:rsidR="00B23396" w:rsidRDefault="00B23396" w:rsidP="00B23396">
      <w:pPr>
        <w:pStyle w:val="NormalWeb"/>
        <w:spacing w:before="0" w:beforeAutospacing="0" w:after="0" w:afterAutospacing="0"/>
        <w:jc w:val="both"/>
        <w:rPr>
          <w:rFonts w:ascii="Calibri" w:eastAsia="Calibri" w:hAnsi="Calibri" w:cs="Calibri"/>
          <w:bCs/>
        </w:rPr>
      </w:pPr>
      <w:r w:rsidRPr="00000592">
        <w:rPr>
          <w:rFonts w:ascii="Calibri" w:eastAsia="Calibri" w:hAnsi="Calibri" w:cs="Calibri"/>
          <w:bCs/>
        </w:rPr>
        <w:t>Despite these advancements, the situation's dynamics call for a thoughtful examination of evolving landscapes. The transformation of waqf is further propelled by innovative models and practices that adapt modern financial systems and governance mechanisms (Mohamad Akhir et al., 2023; Wijaya, 2023). In this light, developing performance indices and frameworks for intellectual capital offers valuable tools for gauging and enhancing the effectiveness of waqf initiatives (</w:t>
      </w:r>
      <w:proofErr w:type="spellStart"/>
      <w:r w:rsidRPr="00000592">
        <w:rPr>
          <w:rFonts w:ascii="Calibri" w:eastAsia="Calibri" w:hAnsi="Calibri" w:cs="Calibri"/>
          <w:bCs/>
        </w:rPr>
        <w:t>Laallam</w:t>
      </w:r>
      <w:proofErr w:type="spellEnd"/>
      <w:r w:rsidRPr="00000592">
        <w:rPr>
          <w:rFonts w:ascii="Calibri" w:eastAsia="Calibri" w:hAnsi="Calibri" w:cs="Calibri"/>
          <w:bCs/>
        </w:rPr>
        <w:t xml:space="preserve"> et al., 2020; </w:t>
      </w:r>
      <w:proofErr w:type="spellStart"/>
      <w:r w:rsidRPr="00000592">
        <w:rPr>
          <w:rFonts w:ascii="Calibri" w:eastAsia="Calibri" w:hAnsi="Calibri" w:cs="Calibri"/>
          <w:bCs/>
        </w:rPr>
        <w:t>Widiastuti</w:t>
      </w:r>
      <w:proofErr w:type="spellEnd"/>
      <w:r w:rsidRPr="00000592">
        <w:rPr>
          <w:rFonts w:ascii="Calibri" w:eastAsia="Calibri" w:hAnsi="Calibri" w:cs="Calibri"/>
          <w:bCs/>
        </w:rPr>
        <w:t xml:space="preserve"> et al., 2022). Additionally, linking waqf with environmental sustainability efforts—such as green strategies and ecological conservation—</w:t>
      </w:r>
      <w:r w:rsidRPr="00000592">
        <w:rPr>
          <w:rFonts w:ascii="Calibri" w:eastAsia="Calibri" w:hAnsi="Calibri" w:cs="Calibri"/>
          <w:bCs/>
        </w:rPr>
        <w:lastRenderedPageBreak/>
        <w:t>calls for further empirical research to validate its long-term impact (Anas, 2020; Jannah, 2024). Ensuring the sustainability and transparency of waqf operations hinges on strong governance and legal frameworks (Sipan et al., 2021; Zawawi et al., 2023). Lastly, investigating how governance practices, legal reforms, and stakeholder involvement interact will be critical for maximising waqf's contributions to sustainable development.</w:t>
      </w:r>
    </w:p>
    <w:p w14:paraId="04F086F6" w14:textId="77777777" w:rsidR="00B23396" w:rsidRPr="00000592" w:rsidRDefault="00B23396" w:rsidP="00B23396">
      <w:pPr>
        <w:pStyle w:val="NormalWeb"/>
        <w:spacing w:before="0" w:beforeAutospacing="0" w:after="0" w:afterAutospacing="0"/>
        <w:jc w:val="both"/>
        <w:rPr>
          <w:rFonts w:ascii="Calibri" w:eastAsia="Calibri" w:hAnsi="Calibri" w:cs="Calibri"/>
          <w:bCs/>
        </w:rPr>
      </w:pPr>
    </w:p>
    <w:p w14:paraId="316AF781" w14:textId="77777777" w:rsidR="00B23396" w:rsidRDefault="00B23396" w:rsidP="00B23396">
      <w:pPr>
        <w:pStyle w:val="NormalWeb"/>
        <w:spacing w:before="0" w:beforeAutospacing="0" w:after="0" w:afterAutospacing="0"/>
        <w:jc w:val="both"/>
        <w:rPr>
          <w:rFonts w:ascii="Calibri" w:eastAsia="Calibri" w:hAnsi="Calibri" w:cs="Calibri"/>
          <w:bCs/>
        </w:rPr>
      </w:pPr>
      <w:r w:rsidRPr="00000592">
        <w:rPr>
          <w:rFonts w:ascii="Calibri" w:eastAsia="Calibri" w:hAnsi="Calibri" w:cs="Calibri"/>
          <w:bCs/>
        </w:rPr>
        <w:t>This review asserts that future research should explore scalable frameworks for integrating waqf into broader economic systems, with a special emphasis on leveraging digital platforms and the role of technology in resource optimisation. Upcoming studies should also evaluate the scalability of these models across different socio-economic landscapes and look into how artificial intelligence and blockchain technology can enhance transparency and efficiency. Together, these insights lay a solid groundwork for future research and innovation in waqf management, positioning it as a dynamic force for global sustainability. Furthermore, examining the effects of waqf on regional economic stability within diverse cultural and legal contexts could provide a more nuanced understanding of its global significance. It is equally important to quantify these initiatives' social returns and investigate cross-sector collaborations that weave waqf into public welfare policies.</w:t>
      </w:r>
    </w:p>
    <w:p w14:paraId="45E84F8C" w14:textId="77777777" w:rsidR="00B23396" w:rsidRPr="00000592" w:rsidRDefault="00B23396" w:rsidP="00B23396">
      <w:pPr>
        <w:pStyle w:val="NormalWeb"/>
        <w:spacing w:before="0" w:beforeAutospacing="0" w:after="0" w:afterAutospacing="0"/>
        <w:jc w:val="both"/>
        <w:rPr>
          <w:rFonts w:ascii="Calibri" w:eastAsia="Calibri" w:hAnsi="Calibri" w:cs="Calibri"/>
          <w:bCs/>
        </w:rPr>
      </w:pPr>
    </w:p>
    <w:p w14:paraId="6FA5CD14" w14:textId="65A3AE52" w:rsidR="00B23396" w:rsidRPr="00000592" w:rsidRDefault="00B23396" w:rsidP="00B23396">
      <w:pPr>
        <w:pBdr>
          <w:top w:val="nil"/>
          <w:left w:val="nil"/>
          <w:bottom w:val="nil"/>
          <w:right w:val="nil"/>
          <w:between w:val="nil"/>
        </w:pBdr>
        <w:spacing w:after="0" w:line="240" w:lineRule="auto"/>
        <w:outlineLvl w:val="1"/>
        <w:rPr>
          <w:rFonts w:ascii="Calibri" w:hAnsi="Calibri" w:cs="Calibri"/>
          <w:b/>
          <w:color w:val="000000"/>
          <w:sz w:val="24"/>
          <w:szCs w:val="24"/>
        </w:rPr>
      </w:pPr>
      <w:r w:rsidRPr="00000592">
        <w:rPr>
          <w:rFonts w:ascii="Calibri" w:hAnsi="Calibri" w:cs="Calibri"/>
          <w:b/>
          <w:color w:val="000000"/>
          <w:sz w:val="24"/>
          <w:szCs w:val="24"/>
        </w:rPr>
        <w:t>Contributions and Benefits of Study</w:t>
      </w:r>
    </w:p>
    <w:p w14:paraId="46B96177" w14:textId="77777777" w:rsidR="00B23396" w:rsidRDefault="00B23396" w:rsidP="00B23396">
      <w:pPr>
        <w:pStyle w:val="NormalWeb"/>
        <w:spacing w:before="0" w:beforeAutospacing="0" w:after="0" w:afterAutospacing="0"/>
        <w:jc w:val="both"/>
        <w:rPr>
          <w:rFonts w:ascii="Calibri" w:eastAsia="Calibri" w:hAnsi="Calibri" w:cs="Calibri"/>
          <w:bCs/>
        </w:rPr>
      </w:pPr>
      <w:r w:rsidRPr="00000592">
        <w:rPr>
          <w:rFonts w:ascii="Calibri" w:eastAsia="Calibri" w:hAnsi="Calibri" w:cs="Calibri"/>
          <w:bCs/>
        </w:rPr>
        <w:t>This thematic review significantly contributes to academia and practitioners, advancing the understanding and application of waqf in contemporary contexts. Academically, it enriches the literature by presenting a comprehensive synthesis of waqf's role in sustainability across financial, social, environmental, and governance dimensions. The study highlights innovative models such as the integration of waqf with financial systems, intellectual capital, and public-private partnerships, offering a foundation for further research into waqf’s scalability and adaptability in diverse socio-economic contexts. It also bridges gaps in knowledge regarding the intersection of waqf and environmental sustainability, shedding light on its potential to address modern ecological challenges. These insights advance theoretical frameworks and create opportunities for interdisciplinary research exploring waqf's applications in economics, law, social sciences, and environmental studies.</w:t>
      </w:r>
    </w:p>
    <w:p w14:paraId="28608568" w14:textId="77777777" w:rsidR="00B23396" w:rsidRPr="00000592" w:rsidRDefault="00B23396" w:rsidP="00B23396">
      <w:pPr>
        <w:pStyle w:val="NormalWeb"/>
        <w:spacing w:before="0" w:beforeAutospacing="0" w:after="0" w:afterAutospacing="0"/>
        <w:jc w:val="both"/>
        <w:rPr>
          <w:rFonts w:ascii="Calibri" w:eastAsia="Calibri" w:hAnsi="Calibri" w:cs="Calibri"/>
          <w:bCs/>
        </w:rPr>
      </w:pPr>
    </w:p>
    <w:p w14:paraId="50DCECF8" w14:textId="77777777" w:rsidR="00B23396" w:rsidRDefault="00B23396" w:rsidP="00B23396">
      <w:pPr>
        <w:pStyle w:val="NormalWeb"/>
        <w:spacing w:before="0" w:beforeAutospacing="0" w:after="0" w:afterAutospacing="0"/>
        <w:jc w:val="both"/>
        <w:rPr>
          <w:rFonts w:ascii="Calibri" w:eastAsia="Calibri" w:hAnsi="Calibri" w:cs="Calibri"/>
          <w:bCs/>
        </w:rPr>
      </w:pPr>
      <w:r w:rsidRPr="00000592">
        <w:rPr>
          <w:rFonts w:ascii="Calibri" w:eastAsia="Calibri" w:hAnsi="Calibri" w:cs="Calibri"/>
          <w:bCs/>
        </w:rPr>
        <w:t>For practitioners, this review provides actionable insights into the management and implementation of waqf initiatives. It underscores the importance of professional governance frameworks and the incorporation of modern tools such as digital platforms and performance evaluation indices to enhance efficiency and transparency. Practitioners are offered a roadmap to harness waqf for socio-economic and environmental impact, whether through innovative models like cash waqf-linked infrastructure financing or by leveraging waqf to empower marginalised communities. Moreover, the study encourages collaboration between waqf institutions, governments, and private sectors to optimise resource utilisation and align with sustainable development goals. By bridging theory and practice, this review equips practitioners with evidence-based strategies to elevate waqf initiatives' effectiveness and societal impact in a rapidly evolving world.</w:t>
      </w:r>
    </w:p>
    <w:p w14:paraId="5DA488AA" w14:textId="77777777" w:rsidR="00B23396" w:rsidRPr="00000592" w:rsidRDefault="00B23396" w:rsidP="00B23396">
      <w:pPr>
        <w:pStyle w:val="NormalWeb"/>
        <w:spacing w:before="0" w:beforeAutospacing="0" w:after="0" w:afterAutospacing="0"/>
        <w:jc w:val="both"/>
        <w:rPr>
          <w:rFonts w:ascii="Calibri" w:eastAsia="Calibri" w:hAnsi="Calibri" w:cs="Calibri"/>
          <w:bCs/>
        </w:rPr>
      </w:pPr>
    </w:p>
    <w:p w14:paraId="467BBEA9" w14:textId="77777777" w:rsidR="00B23396" w:rsidRPr="00000592" w:rsidRDefault="00B23396" w:rsidP="00B23396">
      <w:pPr>
        <w:widowControl w:val="0"/>
        <w:autoSpaceDE w:val="0"/>
        <w:autoSpaceDN w:val="0"/>
        <w:adjustRightInd w:val="0"/>
        <w:spacing w:after="0" w:line="240" w:lineRule="auto"/>
        <w:ind w:left="480" w:hanging="480"/>
        <w:rPr>
          <w:rFonts w:ascii="Calibri" w:hAnsi="Calibri" w:cs="Calibri"/>
          <w:b/>
          <w:sz w:val="24"/>
          <w:szCs w:val="24"/>
        </w:rPr>
      </w:pPr>
      <w:r w:rsidRPr="00000592">
        <w:rPr>
          <w:rFonts w:ascii="Calibri" w:hAnsi="Calibri" w:cs="Calibri"/>
          <w:b/>
          <w:sz w:val="24"/>
          <w:szCs w:val="24"/>
        </w:rPr>
        <w:t>Acknowledgements</w:t>
      </w:r>
    </w:p>
    <w:p w14:paraId="144E27B3" w14:textId="77777777" w:rsidR="00B23396" w:rsidRPr="00000592" w:rsidRDefault="00B23396" w:rsidP="00B23396">
      <w:pPr>
        <w:spacing w:after="0" w:line="240" w:lineRule="auto"/>
        <w:jc w:val="both"/>
        <w:rPr>
          <w:rFonts w:ascii="Calibri" w:hAnsi="Calibri" w:cs="Calibri"/>
          <w:bCs/>
          <w:sz w:val="24"/>
          <w:szCs w:val="24"/>
        </w:rPr>
      </w:pPr>
      <w:r w:rsidRPr="00000592">
        <w:rPr>
          <w:rFonts w:ascii="Calibri" w:hAnsi="Calibri" w:cs="Calibri"/>
          <w:bCs/>
          <w:sz w:val="24"/>
          <w:szCs w:val="24"/>
        </w:rPr>
        <w:t xml:space="preserve">The authors express heartfelt gratitude to </w:t>
      </w:r>
      <w:proofErr w:type="spellStart"/>
      <w:r w:rsidRPr="00000592">
        <w:rPr>
          <w:rFonts w:ascii="Calibri" w:hAnsi="Calibri" w:cs="Calibri"/>
          <w:bCs/>
          <w:sz w:val="24"/>
          <w:szCs w:val="24"/>
        </w:rPr>
        <w:t>Jabatan</w:t>
      </w:r>
      <w:proofErr w:type="spellEnd"/>
      <w:r w:rsidRPr="00000592">
        <w:rPr>
          <w:rFonts w:ascii="Calibri" w:hAnsi="Calibri" w:cs="Calibri"/>
          <w:bCs/>
          <w:sz w:val="24"/>
          <w:szCs w:val="24"/>
        </w:rPr>
        <w:t xml:space="preserve"> </w:t>
      </w:r>
      <w:proofErr w:type="spellStart"/>
      <w:r w:rsidRPr="00000592">
        <w:rPr>
          <w:rFonts w:ascii="Calibri" w:hAnsi="Calibri" w:cs="Calibri"/>
          <w:bCs/>
          <w:sz w:val="24"/>
          <w:szCs w:val="24"/>
        </w:rPr>
        <w:t>Perkhidmatan</w:t>
      </w:r>
      <w:proofErr w:type="spellEnd"/>
      <w:r w:rsidRPr="00000592">
        <w:rPr>
          <w:rFonts w:ascii="Calibri" w:hAnsi="Calibri" w:cs="Calibri"/>
          <w:bCs/>
          <w:sz w:val="24"/>
          <w:szCs w:val="24"/>
        </w:rPr>
        <w:t xml:space="preserve"> Awam (JPA), D8 Malaysia Foundation - AL-Hidayah Group, and International Islamic University Malaysia for their generous sponsorship and unwavering support throughout this study. Their contributions, </w:t>
      </w:r>
      <w:r w:rsidRPr="00000592">
        <w:rPr>
          <w:rFonts w:ascii="Calibri" w:hAnsi="Calibri" w:cs="Calibri"/>
          <w:bCs/>
          <w:sz w:val="24"/>
          <w:szCs w:val="24"/>
        </w:rPr>
        <w:lastRenderedPageBreak/>
        <w:t xml:space="preserve">both in resources and encouragement, have been instrumental in facilitating the successful completion of this work. The authors sincerely appreciate their commitment to research in waqf sustainability and their invaluable role in enabling this </w:t>
      </w:r>
      <w:proofErr w:type="spellStart"/>
      <w:r w:rsidRPr="00000592">
        <w:rPr>
          <w:rFonts w:ascii="Calibri" w:hAnsi="Calibri" w:cs="Calibri"/>
          <w:bCs/>
          <w:sz w:val="24"/>
          <w:szCs w:val="24"/>
        </w:rPr>
        <w:t>endeavour</w:t>
      </w:r>
      <w:proofErr w:type="spellEnd"/>
      <w:r w:rsidRPr="00000592">
        <w:rPr>
          <w:rFonts w:ascii="Calibri" w:hAnsi="Calibri" w:cs="Calibri"/>
          <w:bCs/>
          <w:sz w:val="24"/>
          <w:szCs w:val="24"/>
        </w:rPr>
        <w:t>. We are profoundly grateful for their trust, guidance, and belief in the importance of this research.</w:t>
      </w:r>
    </w:p>
    <w:p w14:paraId="22D861A3" w14:textId="77777777" w:rsidR="00B23396" w:rsidRDefault="00B23396" w:rsidP="00B23396">
      <w:pPr>
        <w:spacing w:after="0" w:line="240" w:lineRule="auto"/>
        <w:rPr>
          <w:rFonts w:ascii="Calibri" w:hAnsi="Calibri" w:cs="Calibri"/>
          <w:b/>
          <w:sz w:val="24"/>
          <w:szCs w:val="24"/>
        </w:rPr>
      </w:pPr>
    </w:p>
    <w:p w14:paraId="1555AA63" w14:textId="0C1BD573" w:rsidR="00B23396" w:rsidRPr="00000592" w:rsidRDefault="00B23396" w:rsidP="00B23396">
      <w:pPr>
        <w:spacing w:after="0" w:line="240" w:lineRule="auto"/>
        <w:rPr>
          <w:rFonts w:ascii="Calibri" w:hAnsi="Calibri" w:cs="Calibri"/>
          <w:b/>
          <w:sz w:val="24"/>
          <w:szCs w:val="24"/>
        </w:rPr>
      </w:pPr>
      <w:r w:rsidRPr="00000592">
        <w:rPr>
          <w:rFonts w:ascii="Calibri" w:hAnsi="Calibri" w:cs="Calibri"/>
          <w:b/>
          <w:sz w:val="24"/>
          <w:szCs w:val="24"/>
        </w:rPr>
        <w:t>References</w:t>
      </w:r>
    </w:p>
    <w:p w14:paraId="12765FD3"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b/>
          <w:sz w:val="24"/>
          <w:szCs w:val="24"/>
        </w:rPr>
        <w:fldChar w:fldCharType="begin" w:fldLock="1"/>
      </w:r>
      <w:r w:rsidRPr="00B23396">
        <w:rPr>
          <w:rFonts w:ascii="Calibri" w:hAnsi="Calibri" w:cs="Calibri"/>
          <w:b/>
          <w:sz w:val="24"/>
          <w:szCs w:val="24"/>
        </w:rPr>
        <w:instrText xml:space="preserve">ADDIN Mendeley Bibliography CSL_BIBLIOGRAPHY </w:instrText>
      </w:r>
      <w:r w:rsidRPr="00B23396">
        <w:rPr>
          <w:rFonts w:ascii="Calibri" w:hAnsi="Calibri" w:cs="Calibri"/>
          <w:b/>
          <w:sz w:val="24"/>
          <w:szCs w:val="24"/>
        </w:rPr>
        <w:fldChar w:fldCharType="separate"/>
      </w:r>
      <w:r w:rsidRPr="00B23396">
        <w:rPr>
          <w:rFonts w:ascii="Calibri" w:hAnsi="Calibri" w:cs="Calibri"/>
          <w:noProof/>
          <w:sz w:val="24"/>
          <w:szCs w:val="24"/>
        </w:rPr>
        <w:t xml:space="preserve">Afroz, R., Muhibbullah, M., &amp; Morshed, M. N. (2019). Factors affecting the intention of the rice farmers to adopt the integrated cash Waqf environmental protection model: An empirical study in kedah Malaysia. </w:t>
      </w:r>
      <w:r w:rsidRPr="00B23396">
        <w:rPr>
          <w:rFonts w:ascii="Calibri" w:hAnsi="Calibri" w:cs="Calibri"/>
          <w:i/>
          <w:iCs/>
          <w:noProof/>
          <w:sz w:val="24"/>
          <w:szCs w:val="24"/>
        </w:rPr>
        <w:t>Journal of Asian Finance, Economics and Business</w:t>
      </w:r>
      <w:r w:rsidRPr="00B23396">
        <w:rPr>
          <w:rFonts w:ascii="Calibri" w:hAnsi="Calibri" w:cs="Calibri"/>
          <w:noProof/>
          <w:sz w:val="24"/>
          <w:szCs w:val="24"/>
        </w:rPr>
        <w:t xml:space="preserve">, </w:t>
      </w:r>
      <w:r w:rsidRPr="00B23396">
        <w:rPr>
          <w:rFonts w:ascii="Calibri" w:hAnsi="Calibri" w:cs="Calibri"/>
          <w:i/>
          <w:iCs/>
          <w:noProof/>
          <w:sz w:val="24"/>
          <w:szCs w:val="24"/>
        </w:rPr>
        <w:t>6</w:t>
      </w:r>
      <w:r w:rsidRPr="00B23396">
        <w:rPr>
          <w:rFonts w:ascii="Calibri" w:hAnsi="Calibri" w:cs="Calibri"/>
          <w:noProof/>
          <w:sz w:val="24"/>
          <w:szCs w:val="24"/>
        </w:rPr>
        <w:t>(4), 189–199. https://doi.org/10.13106/jafeb.2019.vol6.no4.189</w:t>
      </w:r>
    </w:p>
    <w:p w14:paraId="6246DC8B"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Anas, N., Ahmad, N. A., Hussain, N. H. M., Ahmad, A. C., &amp; Yaacob, Z. (2020). The nexus of green strategies in ascertaining sustainable private Tahfiz institutions in Malaysia: A proposed model. </w:t>
      </w:r>
      <w:r w:rsidRPr="00B23396">
        <w:rPr>
          <w:rFonts w:ascii="Calibri" w:hAnsi="Calibri" w:cs="Calibri"/>
          <w:i/>
          <w:iCs/>
          <w:noProof/>
          <w:sz w:val="24"/>
          <w:szCs w:val="24"/>
        </w:rPr>
        <w:t>International Journal of Advanced and Applied Sciences</w:t>
      </w:r>
      <w:r w:rsidRPr="00B23396">
        <w:rPr>
          <w:rFonts w:ascii="Calibri" w:hAnsi="Calibri" w:cs="Calibri"/>
          <w:noProof/>
          <w:sz w:val="24"/>
          <w:szCs w:val="24"/>
        </w:rPr>
        <w:t xml:space="preserve">, </w:t>
      </w:r>
      <w:r w:rsidRPr="00B23396">
        <w:rPr>
          <w:rFonts w:ascii="Calibri" w:hAnsi="Calibri" w:cs="Calibri"/>
          <w:i/>
          <w:iCs/>
          <w:noProof/>
          <w:sz w:val="24"/>
          <w:szCs w:val="24"/>
        </w:rPr>
        <w:t>7</w:t>
      </w:r>
      <w:r w:rsidRPr="00B23396">
        <w:rPr>
          <w:rFonts w:ascii="Calibri" w:hAnsi="Calibri" w:cs="Calibri"/>
          <w:noProof/>
          <w:sz w:val="24"/>
          <w:szCs w:val="24"/>
        </w:rPr>
        <w:t>(11), 119–124. https://doi.org/10.21833/ijaas.2020.11.013</w:t>
      </w:r>
    </w:p>
    <w:p w14:paraId="5387B7DB"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Asiah, M. N. (2018). A Study on the Socio-Economic Roles of Waqf Ahli ( Family Waqf ) in Promoting Family Security and a Sustainable Family Economy * Kajian Mengenai Peranan Sosio-Ekonomi Waqf Ahli ( Waqf Keluarga ) Dalam Meningkatkan. </w:t>
      </w:r>
      <w:r w:rsidRPr="00B23396">
        <w:rPr>
          <w:rFonts w:ascii="Calibri" w:hAnsi="Calibri" w:cs="Calibri"/>
          <w:i/>
          <w:iCs/>
          <w:noProof/>
          <w:sz w:val="24"/>
          <w:szCs w:val="24"/>
        </w:rPr>
        <w:t>IIUM Law Journal</w:t>
      </w:r>
      <w:r w:rsidRPr="00B23396">
        <w:rPr>
          <w:rFonts w:ascii="Calibri" w:hAnsi="Calibri" w:cs="Calibri"/>
          <w:noProof/>
          <w:sz w:val="24"/>
          <w:szCs w:val="24"/>
        </w:rPr>
        <w:t xml:space="preserve">, </w:t>
      </w:r>
      <w:r w:rsidRPr="00B23396">
        <w:rPr>
          <w:rFonts w:ascii="Calibri" w:hAnsi="Calibri" w:cs="Calibri"/>
          <w:i/>
          <w:iCs/>
          <w:noProof/>
          <w:sz w:val="24"/>
          <w:szCs w:val="24"/>
        </w:rPr>
        <w:t>26</w:t>
      </w:r>
      <w:r w:rsidRPr="00B23396">
        <w:rPr>
          <w:rFonts w:ascii="Calibri" w:hAnsi="Calibri" w:cs="Calibri"/>
          <w:noProof/>
          <w:sz w:val="24"/>
          <w:szCs w:val="24"/>
        </w:rPr>
        <w:t>(1), 141–160. file:///C:/Users/User/Downloads/383-Article Text-1169-4-10-20180702.pdf</w:t>
      </w:r>
    </w:p>
    <w:p w14:paraId="18A533F6"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Awaludin, N. S., Nahar, H. S., Yaacob, H., &amp; Bakar, N. S. (2018). Exploring awqāf governance: Preliminary evidence of governance practices and disclosure of two Malaysian Awqāf institutions. </w:t>
      </w:r>
      <w:r w:rsidRPr="00B23396">
        <w:rPr>
          <w:rFonts w:ascii="Calibri" w:hAnsi="Calibri" w:cs="Calibri"/>
          <w:i/>
          <w:iCs/>
          <w:noProof/>
          <w:sz w:val="24"/>
          <w:szCs w:val="24"/>
        </w:rPr>
        <w:t>Journal of King Abdulaziz University, Islamic Economics</w:t>
      </w:r>
      <w:r w:rsidRPr="00B23396">
        <w:rPr>
          <w:rFonts w:ascii="Calibri" w:hAnsi="Calibri" w:cs="Calibri"/>
          <w:noProof/>
          <w:sz w:val="24"/>
          <w:szCs w:val="24"/>
        </w:rPr>
        <w:t xml:space="preserve">, </w:t>
      </w:r>
      <w:r w:rsidRPr="00B23396">
        <w:rPr>
          <w:rFonts w:ascii="Calibri" w:hAnsi="Calibri" w:cs="Calibri"/>
          <w:i/>
          <w:iCs/>
          <w:noProof/>
          <w:sz w:val="24"/>
          <w:szCs w:val="24"/>
        </w:rPr>
        <w:t>31</w:t>
      </w:r>
      <w:r w:rsidRPr="00B23396">
        <w:rPr>
          <w:rFonts w:ascii="Calibri" w:hAnsi="Calibri" w:cs="Calibri"/>
          <w:noProof/>
          <w:sz w:val="24"/>
          <w:szCs w:val="24"/>
        </w:rPr>
        <w:t>(1), 139–150. https://doi.org/10.4197/Islec.31-1.9</w:t>
      </w:r>
    </w:p>
    <w:p w14:paraId="14C73152"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Bayram, K., &amp; Altarturi, B. (2020). Waqf Al-Gharimin Approach for Non- Performing Loans of Cooperative Banks with a Special Focus on Marawi Case. </w:t>
      </w:r>
      <w:r w:rsidRPr="00B23396">
        <w:rPr>
          <w:rFonts w:ascii="Calibri" w:hAnsi="Calibri" w:cs="Calibri"/>
          <w:i/>
          <w:iCs/>
          <w:noProof/>
          <w:sz w:val="24"/>
          <w:szCs w:val="24"/>
        </w:rPr>
        <w:t>Turkish Journal of Islamic Economics</w:t>
      </w:r>
      <w:r w:rsidRPr="00B23396">
        <w:rPr>
          <w:rFonts w:ascii="Calibri" w:hAnsi="Calibri" w:cs="Calibri"/>
          <w:noProof/>
          <w:sz w:val="24"/>
          <w:szCs w:val="24"/>
        </w:rPr>
        <w:t xml:space="preserve">, </w:t>
      </w:r>
      <w:r w:rsidRPr="00B23396">
        <w:rPr>
          <w:rFonts w:ascii="Calibri" w:hAnsi="Calibri" w:cs="Calibri"/>
          <w:i/>
          <w:iCs/>
          <w:noProof/>
          <w:sz w:val="24"/>
          <w:szCs w:val="24"/>
        </w:rPr>
        <w:t>7</w:t>
      </w:r>
      <w:r w:rsidRPr="00B23396">
        <w:rPr>
          <w:rFonts w:ascii="Calibri" w:hAnsi="Calibri" w:cs="Calibri"/>
          <w:noProof/>
          <w:sz w:val="24"/>
          <w:szCs w:val="24"/>
        </w:rPr>
        <w:t>(1), 1–12. https://doi.org/10.26414/a064</w:t>
      </w:r>
    </w:p>
    <w:p w14:paraId="38BBDF2C"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Bulut, M. (2020). Civilisation, Economy and Waqf in Ottoman Europe. </w:t>
      </w:r>
      <w:r w:rsidRPr="00B23396">
        <w:rPr>
          <w:rFonts w:ascii="Calibri" w:hAnsi="Calibri" w:cs="Calibri"/>
          <w:i/>
          <w:iCs/>
          <w:noProof/>
          <w:sz w:val="24"/>
          <w:szCs w:val="24"/>
        </w:rPr>
        <w:t>Journal of Nusantara Studies (JONUS)</w:t>
      </w:r>
      <w:r w:rsidRPr="00B23396">
        <w:rPr>
          <w:rFonts w:ascii="Calibri" w:hAnsi="Calibri" w:cs="Calibri"/>
          <w:noProof/>
          <w:sz w:val="24"/>
          <w:szCs w:val="24"/>
        </w:rPr>
        <w:t xml:space="preserve">, </w:t>
      </w:r>
      <w:r w:rsidRPr="00B23396">
        <w:rPr>
          <w:rFonts w:ascii="Calibri" w:hAnsi="Calibri" w:cs="Calibri"/>
          <w:i/>
          <w:iCs/>
          <w:noProof/>
          <w:sz w:val="24"/>
          <w:szCs w:val="24"/>
        </w:rPr>
        <w:t>5</w:t>
      </w:r>
      <w:r w:rsidRPr="00B23396">
        <w:rPr>
          <w:rFonts w:ascii="Calibri" w:hAnsi="Calibri" w:cs="Calibri"/>
          <w:noProof/>
          <w:sz w:val="24"/>
          <w:szCs w:val="24"/>
        </w:rPr>
        <w:t>(2), 48–67. https://doi.org/10.24200/jonus.vol5iss2pp48-67</w:t>
      </w:r>
    </w:p>
    <w:p w14:paraId="1A6D604C"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Fauziah, N. N. (2021). Developing Cash Waqf Model as an Alternative Financing for Social Enterprises to Support Decent Work and Economic Growth in Indonesia. </w:t>
      </w:r>
      <w:r w:rsidRPr="00B23396">
        <w:rPr>
          <w:rFonts w:ascii="Calibri" w:hAnsi="Calibri" w:cs="Calibri"/>
          <w:i/>
          <w:iCs/>
          <w:noProof/>
          <w:sz w:val="24"/>
          <w:szCs w:val="24"/>
        </w:rPr>
        <w:t>Turkish Journal of Islamic Economics</w:t>
      </w:r>
      <w:r w:rsidRPr="00B23396">
        <w:rPr>
          <w:rFonts w:ascii="Calibri" w:hAnsi="Calibri" w:cs="Calibri"/>
          <w:noProof/>
          <w:sz w:val="24"/>
          <w:szCs w:val="24"/>
        </w:rPr>
        <w:t xml:space="preserve">, </w:t>
      </w:r>
      <w:r w:rsidRPr="00B23396">
        <w:rPr>
          <w:rFonts w:ascii="Calibri" w:hAnsi="Calibri" w:cs="Calibri"/>
          <w:i/>
          <w:iCs/>
          <w:noProof/>
          <w:sz w:val="24"/>
          <w:szCs w:val="24"/>
        </w:rPr>
        <w:t>8</w:t>
      </w:r>
      <w:r w:rsidRPr="00B23396">
        <w:rPr>
          <w:rFonts w:ascii="Calibri" w:hAnsi="Calibri" w:cs="Calibri"/>
          <w:noProof/>
          <w:sz w:val="24"/>
          <w:szCs w:val="24"/>
        </w:rPr>
        <w:t>(Special Issue), 195–217. https://doi.org/10.26414/a2759</w:t>
      </w:r>
    </w:p>
    <w:p w14:paraId="7113F7C2"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Huda, M., &amp; Santoso, L. (2022). Implementation of Corporate Waqf Core Principles in the Development of Waqf in Indonesia. </w:t>
      </w:r>
      <w:r w:rsidRPr="00B23396">
        <w:rPr>
          <w:rFonts w:ascii="Calibri" w:hAnsi="Calibri" w:cs="Calibri"/>
          <w:i/>
          <w:iCs/>
          <w:noProof/>
          <w:sz w:val="24"/>
          <w:szCs w:val="24"/>
        </w:rPr>
        <w:t>Academic Journal of Interdisciplinary Studies</w:t>
      </w:r>
      <w:r w:rsidRPr="00B23396">
        <w:rPr>
          <w:rFonts w:ascii="Calibri" w:hAnsi="Calibri" w:cs="Calibri"/>
          <w:noProof/>
          <w:sz w:val="24"/>
          <w:szCs w:val="24"/>
        </w:rPr>
        <w:t xml:space="preserve">, </w:t>
      </w:r>
      <w:r w:rsidRPr="00B23396">
        <w:rPr>
          <w:rFonts w:ascii="Calibri" w:hAnsi="Calibri" w:cs="Calibri"/>
          <w:i/>
          <w:iCs/>
          <w:noProof/>
          <w:sz w:val="24"/>
          <w:szCs w:val="24"/>
        </w:rPr>
        <w:t>11</w:t>
      </w:r>
      <w:r w:rsidRPr="00B23396">
        <w:rPr>
          <w:rFonts w:ascii="Calibri" w:hAnsi="Calibri" w:cs="Calibri"/>
          <w:noProof/>
          <w:sz w:val="24"/>
          <w:szCs w:val="24"/>
        </w:rPr>
        <w:t>(5), 114–124. https://doi.org/10.36941/ajis-2022-0129</w:t>
      </w:r>
    </w:p>
    <w:p w14:paraId="2614B781"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Ibrahim, S. S., Daud, D., Zainal, N., Noor, A. H. M., &amp; Beik, I. (2021). Urgency in Waqf-Microfinance Project Collaboration for Socio-economic Growth and the Mediating Effect of Sustainability Using PLS-SEM Analysis. </w:t>
      </w:r>
      <w:r w:rsidRPr="00B23396">
        <w:rPr>
          <w:rFonts w:ascii="Calibri" w:hAnsi="Calibri" w:cs="Calibri"/>
          <w:i/>
          <w:iCs/>
          <w:noProof/>
          <w:sz w:val="24"/>
          <w:szCs w:val="24"/>
        </w:rPr>
        <w:t>Studies of Applied Economics</w:t>
      </w:r>
      <w:r w:rsidRPr="00B23396">
        <w:rPr>
          <w:rFonts w:ascii="Calibri" w:hAnsi="Calibri" w:cs="Calibri"/>
          <w:noProof/>
          <w:sz w:val="24"/>
          <w:szCs w:val="24"/>
        </w:rPr>
        <w:t>. https://doi.org/10.25115/eea.v39i10.5569</w:t>
      </w:r>
    </w:p>
    <w:p w14:paraId="03D0843E"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Jannah, M., Ali, K. M., Fatria, B. L., Sarkawi, A., &amp; Othman, J. (2021). Enhancing Waqf Forest Sustainability Through Agroforestry: Case Study from Bogor Waqf Forest, Bogor, Indonesia. </w:t>
      </w:r>
      <w:r w:rsidRPr="00B23396">
        <w:rPr>
          <w:rFonts w:ascii="Calibri" w:hAnsi="Calibri" w:cs="Calibri"/>
          <w:i/>
          <w:iCs/>
          <w:noProof/>
          <w:sz w:val="24"/>
          <w:szCs w:val="24"/>
        </w:rPr>
        <w:t>Islam Realitas: Journal of Islamic and Social Studies</w:t>
      </w:r>
      <w:r w:rsidRPr="00B23396">
        <w:rPr>
          <w:rFonts w:ascii="Calibri" w:hAnsi="Calibri" w:cs="Calibri"/>
          <w:noProof/>
          <w:sz w:val="24"/>
          <w:szCs w:val="24"/>
        </w:rPr>
        <w:t>. https://doi.org/10.30983/islam_realitas.v7i1.4454</w:t>
      </w:r>
    </w:p>
    <w:p w14:paraId="716DF0B9"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Jannah, M., Sarkawi, A. A., &amp; Othman, J. (2020). Legalisation of Waqf Forests in Indonesia: The Registration Process. </w:t>
      </w:r>
      <w:r w:rsidRPr="00B23396">
        <w:rPr>
          <w:rFonts w:ascii="Calibri" w:hAnsi="Calibri" w:cs="Calibri"/>
          <w:i/>
          <w:iCs/>
          <w:noProof/>
          <w:sz w:val="24"/>
          <w:szCs w:val="24"/>
        </w:rPr>
        <w:t>Indonesia Law Review</w:t>
      </w:r>
      <w:r w:rsidRPr="00B23396">
        <w:rPr>
          <w:rFonts w:ascii="Calibri" w:hAnsi="Calibri" w:cs="Calibri"/>
          <w:noProof/>
          <w:sz w:val="24"/>
          <w:szCs w:val="24"/>
        </w:rPr>
        <w:t xml:space="preserve">, </w:t>
      </w:r>
      <w:r w:rsidRPr="00B23396">
        <w:rPr>
          <w:rFonts w:ascii="Calibri" w:hAnsi="Calibri" w:cs="Calibri"/>
          <w:i/>
          <w:iCs/>
          <w:noProof/>
          <w:sz w:val="24"/>
          <w:szCs w:val="24"/>
        </w:rPr>
        <w:t>10</w:t>
      </w:r>
      <w:r w:rsidRPr="00B23396">
        <w:rPr>
          <w:rFonts w:ascii="Calibri" w:hAnsi="Calibri" w:cs="Calibri"/>
          <w:noProof/>
          <w:sz w:val="24"/>
          <w:szCs w:val="24"/>
        </w:rPr>
        <w:t>(3), 278–293. https://doi.org/10.15742/ilrev.v10n3.629</w:t>
      </w:r>
    </w:p>
    <w:p w14:paraId="21B8DDDF"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Jannah, M., Sarkawi, A. A., &amp; Othman, J. (2024). Potential Criteria to Determine a Waqf-Based Forest Location Case Study: Bogor Waqf Forest, Bogor, Indonesia. </w:t>
      </w:r>
      <w:r w:rsidRPr="00B23396">
        <w:rPr>
          <w:rFonts w:ascii="Calibri" w:hAnsi="Calibri" w:cs="Calibri"/>
          <w:i/>
          <w:iCs/>
          <w:noProof/>
          <w:sz w:val="24"/>
          <w:szCs w:val="24"/>
        </w:rPr>
        <w:t xml:space="preserve">Jurnal Manajemen </w:t>
      </w:r>
      <w:r w:rsidRPr="00B23396">
        <w:rPr>
          <w:rFonts w:ascii="Calibri" w:hAnsi="Calibri" w:cs="Calibri"/>
          <w:i/>
          <w:iCs/>
          <w:noProof/>
          <w:sz w:val="24"/>
          <w:szCs w:val="24"/>
        </w:rPr>
        <w:lastRenderedPageBreak/>
        <w:t>Hutan Tropika</w:t>
      </w:r>
      <w:r w:rsidRPr="00B23396">
        <w:rPr>
          <w:rFonts w:ascii="Calibri" w:hAnsi="Calibri" w:cs="Calibri"/>
          <w:noProof/>
          <w:sz w:val="24"/>
          <w:szCs w:val="24"/>
        </w:rPr>
        <w:t xml:space="preserve">, </w:t>
      </w:r>
      <w:r w:rsidRPr="00B23396">
        <w:rPr>
          <w:rFonts w:ascii="Calibri" w:hAnsi="Calibri" w:cs="Calibri"/>
          <w:i/>
          <w:iCs/>
          <w:noProof/>
          <w:sz w:val="24"/>
          <w:szCs w:val="24"/>
        </w:rPr>
        <w:t>30</w:t>
      </w:r>
      <w:r w:rsidRPr="00B23396">
        <w:rPr>
          <w:rFonts w:ascii="Calibri" w:hAnsi="Calibri" w:cs="Calibri"/>
          <w:noProof/>
          <w:sz w:val="24"/>
          <w:szCs w:val="24"/>
        </w:rPr>
        <w:t>(1), 30–39. https://doi.org/10.7226/jtfm.30.1.30</w:t>
      </w:r>
    </w:p>
    <w:p w14:paraId="4C2486CF"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Johari, F., Nor, F. M., Hamid, B. A., Zal, W. A. A., Ali, A. F. M., Misbah, H., Haron, H., Shahwan, S., Shafii, Z., Shaharuddin, A., Ahmad, A., Mahomed, Z., Salim, K., Yusoff, M. M., Hassan, W., &amp; Atan, N. A. (2023). Enhancing Synergy in the Waqf Ecosystem in Malaysia: Promoting Increased Waqf Contributions Among Beneficiaries, Donors, and Mutawalli. In </w:t>
      </w:r>
      <w:r w:rsidRPr="00B23396">
        <w:rPr>
          <w:rFonts w:ascii="Calibri" w:hAnsi="Calibri" w:cs="Calibri"/>
          <w:i/>
          <w:iCs/>
          <w:noProof/>
          <w:sz w:val="24"/>
          <w:szCs w:val="24"/>
        </w:rPr>
        <w:t>International Journal of Economics and Finance Studies</w:t>
      </w:r>
      <w:r w:rsidRPr="00B23396">
        <w:rPr>
          <w:rFonts w:ascii="Calibri" w:hAnsi="Calibri" w:cs="Calibri"/>
          <w:noProof/>
          <w:sz w:val="24"/>
          <w:szCs w:val="24"/>
        </w:rPr>
        <w:t xml:space="preserve"> (Vol. 15, Issue 3). https://doi.org/10.34109/ijefs.202315304</w:t>
      </w:r>
    </w:p>
    <w:p w14:paraId="30548206"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Kusumaningtias, R. (2019). The Role of Waqf in Social Development. </w:t>
      </w:r>
      <w:r w:rsidRPr="00B23396">
        <w:rPr>
          <w:rFonts w:ascii="Calibri" w:hAnsi="Calibri" w:cs="Calibri"/>
          <w:i/>
          <w:iCs/>
          <w:noProof/>
          <w:sz w:val="24"/>
          <w:szCs w:val="24"/>
        </w:rPr>
        <w:t>KnE Social Sciences</w:t>
      </w:r>
      <w:r w:rsidRPr="00B23396">
        <w:rPr>
          <w:rFonts w:ascii="Calibri" w:hAnsi="Calibri" w:cs="Calibri"/>
          <w:noProof/>
          <w:sz w:val="24"/>
          <w:szCs w:val="24"/>
        </w:rPr>
        <w:t xml:space="preserve">, </w:t>
      </w:r>
      <w:r w:rsidRPr="00B23396">
        <w:rPr>
          <w:rFonts w:ascii="Calibri" w:hAnsi="Calibri" w:cs="Calibri"/>
          <w:i/>
          <w:iCs/>
          <w:noProof/>
          <w:sz w:val="24"/>
          <w:szCs w:val="24"/>
        </w:rPr>
        <w:t>3</w:t>
      </w:r>
      <w:r w:rsidRPr="00B23396">
        <w:rPr>
          <w:rFonts w:ascii="Calibri" w:hAnsi="Calibri" w:cs="Calibri"/>
          <w:noProof/>
          <w:sz w:val="24"/>
          <w:szCs w:val="24"/>
        </w:rPr>
        <w:t>(11), 348. https://doi.org/10.18502/kss.v3i11.4018</w:t>
      </w:r>
    </w:p>
    <w:p w14:paraId="350CFD51"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Laallam, A., Kassim, S., Engku Ali, E. R. A., &amp; Saiti, B. (2020). Intellectual capital in non-profit organisations: lessons learnt for waqf institutions. </w:t>
      </w:r>
      <w:r w:rsidRPr="00B23396">
        <w:rPr>
          <w:rFonts w:ascii="Calibri" w:hAnsi="Calibri" w:cs="Calibri"/>
          <w:i/>
          <w:iCs/>
          <w:noProof/>
          <w:sz w:val="24"/>
          <w:szCs w:val="24"/>
        </w:rPr>
        <w:t>ISRA International Journal of Islamic Finance</w:t>
      </w:r>
      <w:r w:rsidRPr="00B23396">
        <w:rPr>
          <w:rFonts w:ascii="Calibri" w:hAnsi="Calibri" w:cs="Calibri"/>
          <w:noProof/>
          <w:sz w:val="24"/>
          <w:szCs w:val="24"/>
        </w:rPr>
        <w:t xml:space="preserve">, </w:t>
      </w:r>
      <w:r w:rsidRPr="00B23396">
        <w:rPr>
          <w:rFonts w:ascii="Calibri" w:hAnsi="Calibri" w:cs="Calibri"/>
          <w:i/>
          <w:iCs/>
          <w:noProof/>
          <w:sz w:val="24"/>
          <w:szCs w:val="24"/>
        </w:rPr>
        <w:t>12</w:t>
      </w:r>
      <w:r w:rsidRPr="00B23396">
        <w:rPr>
          <w:rFonts w:ascii="Calibri" w:hAnsi="Calibri" w:cs="Calibri"/>
          <w:noProof/>
          <w:sz w:val="24"/>
          <w:szCs w:val="24"/>
        </w:rPr>
        <w:t>(1), 27–48. https://doi.org/10.1108/IJIF-10-2018-0111</w:t>
      </w:r>
    </w:p>
    <w:p w14:paraId="4E5EDDCC"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Laila, N., Ratnasari, R. T., Ismail, S., Mohd Hidzir, P. A., &amp; Mahphoth, M. H. (2023). The intention of small and medium enterprises’ owners to participate in waqf: the case of Malaysia and Indonesia. </w:t>
      </w:r>
      <w:r w:rsidRPr="00B23396">
        <w:rPr>
          <w:rFonts w:ascii="Calibri" w:hAnsi="Calibri" w:cs="Calibri"/>
          <w:i/>
          <w:iCs/>
          <w:noProof/>
          <w:sz w:val="24"/>
          <w:szCs w:val="24"/>
        </w:rPr>
        <w:t>International Journal of Islamic and Middle Eastern Finance and Management</w:t>
      </w:r>
      <w:r w:rsidRPr="00B23396">
        <w:rPr>
          <w:rFonts w:ascii="Calibri" w:hAnsi="Calibri" w:cs="Calibri"/>
          <w:noProof/>
          <w:sz w:val="24"/>
          <w:szCs w:val="24"/>
        </w:rPr>
        <w:t xml:space="preserve">, </w:t>
      </w:r>
      <w:r w:rsidRPr="00B23396">
        <w:rPr>
          <w:rFonts w:ascii="Calibri" w:hAnsi="Calibri" w:cs="Calibri"/>
          <w:i/>
          <w:iCs/>
          <w:noProof/>
          <w:sz w:val="24"/>
          <w:szCs w:val="24"/>
        </w:rPr>
        <w:t>16</w:t>
      </w:r>
      <w:r w:rsidRPr="00B23396">
        <w:rPr>
          <w:rFonts w:ascii="Calibri" w:hAnsi="Calibri" w:cs="Calibri"/>
          <w:noProof/>
          <w:sz w:val="24"/>
          <w:szCs w:val="24"/>
        </w:rPr>
        <w:t>(3), 429–447. https://doi.org/10.1108/IMEFM-01-2022-0014</w:t>
      </w:r>
    </w:p>
    <w:p w14:paraId="286FBEFE"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Mohamad Akhir, N. S., Mohd Yusof, A. S., Hussin, R., &amp; Mohammed Ghazali, A. (2023). IMWI 4 Tahfiz Agripreneurcation: A sustainability model for private Tahfiz Schools in Malaysia. </w:t>
      </w:r>
      <w:r w:rsidRPr="00B23396">
        <w:rPr>
          <w:rFonts w:ascii="Calibri" w:hAnsi="Calibri" w:cs="Calibri"/>
          <w:i/>
          <w:iCs/>
          <w:noProof/>
          <w:sz w:val="24"/>
          <w:szCs w:val="24"/>
        </w:rPr>
        <w:t>Environment-Behaviour Proceedings Journal</w:t>
      </w:r>
      <w:r w:rsidRPr="00B23396">
        <w:rPr>
          <w:rFonts w:ascii="Calibri" w:hAnsi="Calibri" w:cs="Calibri"/>
          <w:noProof/>
          <w:sz w:val="24"/>
          <w:szCs w:val="24"/>
        </w:rPr>
        <w:t xml:space="preserve">, </w:t>
      </w:r>
      <w:r w:rsidRPr="00B23396">
        <w:rPr>
          <w:rFonts w:ascii="Calibri" w:hAnsi="Calibri" w:cs="Calibri"/>
          <w:i/>
          <w:iCs/>
          <w:noProof/>
          <w:sz w:val="24"/>
          <w:szCs w:val="24"/>
        </w:rPr>
        <w:t>8</w:t>
      </w:r>
      <w:r w:rsidRPr="00B23396">
        <w:rPr>
          <w:rFonts w:ascii="Calibri" w:hAnsi="Calibri" w:cs="Calibri"/>
          <w:noProof/>
          <w:sz w:val="24"/>
          <w:szCs w:val="24"/>
        </w:rPr>
        <w:t>(SI14), 59–64. https://doi.org/10.21834/e-bpj.v8isi14.5057</w:t>
      </w:r>
    </w:p>
    <w:p w14:paraId="61FECE9E"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Mohd Ali, S. N., Arshad, H., Fauzi, N. S., &amp; Ghonim, S. M. A. A. (2023). Synergizing Community Empowerment: Unveiling the Holistic Framework of Waqf Zakat and Infaq-Funded Agricultural Mosque Projects. </w:t>
      </w:r>
      <w:r w:rsidRPr="00B23396">
        <w:rPr>
          <w:rFonts w:ascii="Calibri" w:hAnsi="Calibri" w:cs="Calibri"/>
          <w:i/>
          <w:iCs/>
          <w:noProof/>
          <w:sz w:val="24"/>
          <w:szCs w:val="24"/>
        </w:rPr>
        <w:t>Environment-Behaviour Proceedings Journal</w:t>
      </w:r>
      <w:r w:rsidRPr="00B23396">
        <w:rPr>
          <w:rFonts w:ascii="Calibri" w:hAnsi="Calibri" w:cs="Calibri"/>
          <w:noProof/>
          <w:sz w:val="24"/>
          <w:szCs w:val="24"/>
        </w:rPr>
        <w:t xml:space="preserve">, </w:t>
      </w:r>
      <w:r w:rsidRPr="00B23396">
        <w:rPr>
          <w:rFonts w:ascii="Calibri" w:hAnsi="Calibri" w:cs="Calibri"/>
          <w:i/>
          <w:iCs/>
          <w:noProof/>
          <w:sz w:val="24"/>
          <w:szCs w:val="24"/>
        </w:rPr>
        <w:t>8</w:t>
      </w:r>
      <w:r w:rsidRPr="00B23396">
        <w:rPr>
          <w:rFonts w:ascii="Calibri" w:hAnsi="Calibri" w:cs="Calibri"/>
          <w:noProof/>
          <w:sz w:val="24"/>
          <w:szCs w:val="24"/>
        </w:rPr>
        <w:t>(26), 131–136. https://doi.org/10.21834/e-bpj.v8i26.5146</w:t>
      </w:r>
    </w:p>
    <w:p w14:paraId="07497405"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Mohd Thas Thaker, M. A. Bin. (2018). A qualitative inquiry into cash waqf model as a source of financing for micro enterprises. </w:t>
      </w:r>
      <w:r w:rsidRPr="00B23396">
        <w:rPr>
          <w:rFonts w:ascii="Calibri" w:hAnsi="Calibri" w:cs="Calibri"/>
          <w:i/>
          <w:iCs/>
          <w:noProof/>
          <w:sz w:val="24"/>
          <w:szCs w:val="24"/>
        </w:rPr>
        <w:t>ISRA International Journal of Islamic Finance</w:t>
      </w:r>
      <w:r w:rsidRPr="00B23396">
        <w:rPr>
          <w:rFonts w:ascii="Calibri" w:hAnsi="Calibri" w:cs="Calibri"/>
          <w:noProof/>
          <w:sz w:val="24"/>
          <w:szCs w:val="24"/>
        </w:rPr>
        <w:t xml:space="preserve">, </w:t>
      </w:r>
      <w:r w:rsidRPr="00B23396">
        <w:rPr>
          <w:rFonts w:ascii="Calibri" w:hAnsi="Calibri" w:cs="Calibri"/>
          <w:i/>
          <w:iCs/>
          <w:noProof/>
          <w:sz w:val="24"/>
          <w:szCs w:val="24"/>
        </w:rPr>
        <w:t>10</w:t>
      </w:r>
      <w:r w:rsidRPr="00B23396">
        <w:rPr>
          <w:rFonts w:ascii="Calibri" w:hAnsi="Calibri" w:cs="Calibri"/>
          <w:noProof/>
          <w:sz w:val="24"/>
          <w:szCs w:val="24"/>
        </w:rPr>
        <w:t>(1), 19–35. https://doi.org/10.1108/ijif-07-2017-0013</w:t>
      </w:r>
    </w:p>
    <w:p w14:paraId="27F49785"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Nik Ahmad, N. N., Ismail, S., &amp; Siraj, S. A. (2019). Financial sustainability of Malaysian public universities: officers’ perceptions. </w:t>
      </w:r>
      <w:r w:rsidRPr="00B23396">
        <w:rPr>
          <w:rFonts w:ascii="Calibri" w:hAnsi="Calibri" w:cs="Calibri"/>
          <w:i/>
          <w:iCs/>
          <w:noProof/>
          <w:sz w:val="24"/>
          <w:szCs w:val="24"/>
        </w:rPr>
        <w:t>International Journal of Educational Management</w:t>
      </w:r>
      <w:r w:rsidRPr="00B23396">
        <w:rPr>
          <w:rFonts w:ascii="Calibri" w:hAnsi="Calibri" w:cs="Calibri"/>
          <w:noProof/>
          <w:sz w:val="24"/>
          <w:szCs w:val="24"/>
        </w:rPr>
        <w:t xml:space="preserve">, </w:t>
      </w:r>
      <w:r w:rsidRPr="00B23396">
        <w:rPr>
          <w:rFonts w:ascii="Calibri" w:hAnsi="Calibri" w:cs="Calibri"/>
          <w:i/>
          <w:iCs/>
          <w:noProof/>
          <w:sz w:val="24"/>
          <w:szCs w:val="24"/>
        </w:rPr>
        <w:t>33</w:t>
      </w:r>
      <w:r w:rsidRPr="00B23396">
        <w:rPr>
          <w:rFonts w:ascii="Calibri" w:hAnsi="Calibri" w:cs="Calibri"/>
          <w:noProof/>
          <w:sz w:val="24"/>
          <w:szCs w:val="24"/>
        </w:rPr>
        <w:t>(2), 317–334. https://doi.org/10.1108/IJEM-06-2017-0140</w:t>
      </w:r>
    </w:p>
    <w:p w14:paraId="6D658987"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Raja Adnan, R. A. binti, Abdul Mutalib, M., &amp; Ab Aziz, M. R. (2022). Factors necessary for effective corporate waqf management for Malaysian public healthcare. </w:t>
      </w:r>
      <w:r w:rsidRPr="00B23396">
        <w:rPr>
          <w:rFonts w:ascii="Calibri" w:hAnsi="Calibri" w:cs="Calibri"/>
          <w:i/>
          <w:iCs/>
          <w:noProof/>
          <w:sz w:val="24"/>
          <w:szCs w:val="24"/>
        </w:rPr>
        <w:t>ISRA International Journal of Islamic Finance</w:t>
      </w:r>
      <w:r w:rsidRPr="00B23396">
        <w:rPr>
          <w:rFonts w:ascii="Calibri" w:hAnsi="Calibri" w:cs="Calibri"/>
          <w:noProof/>
          <w:sz w:val="24"/>
          <w:szCs w:val="24"/>
        </w:rPr>
        <w:t xml:space="preserve">, </w:t>
      </w:r>
      <w:r w:rsidRPr="00B23396">
        <w:rPr>
          <w:rFonts w:ascii="Calibri" w:hAnsi="Calibri" w:cs="Calibri"/>
          <w:i/>
          <w:iCs/>
          <w:noProof/>
          <w:sz w:val="24"/>
          <w:szCs w:val="24"/>
        </w:rPr>
        <w:t>14</w:t>
      </w:r>
      <w:r w:rsidRPr="00B23396">
        <w:rPr>
          <w:rFonts w:ascii="Calibri" w:hAnsi="Calibri" w:cs="Calibri"/>
          <w:noProof/>
          <w:sz w:val="24"/>
          <w:szCs w:val="24"/>
        </w:rPr>
        <w:t>(1), 73–88. https://doi.org/10.1108/IJIF-11-2019-0178</w:t>
      </w:r>
    </w:p>
    <w:p w14:paraId="6B59F36E"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Razak, S. F. F. B. A. (2020). </w:t>
      </w:r>
      <w:r w:rsidRPr="00B23396">
        <w:rPr>
          <w:rFonts w:ascii="Calibri" w:hAnsi="Calibri" w:cs="Calibri"/>
          <w:i/>
          <w:iCs/>
          <w:noProof/>
          <w:sz w:val="24"/>
          <w:szCs w:val="24"/>
        </w:rPr>
        <w:t>An Analysis of Cash Waqf Involvement Among Malaysia Citizen in Pahang, Malaysia</w:t>
      </w:r>
      <w:r w:rsidRPr="00B23396">
        <w:rPr>
          <w:rFonts w:ascii="Calibri" w:hAnsi="Calibri" w:cs="Calibri"/>
          <w:noProof/>
          <w:sz w:val="24"/>
          <w:szCs w:val="24"/>
        </w:rPr>
        <w:t>. 388–395. https://doi.org/10.15405/epsbs.2020.12.05.41</w:t>
      </w:r>
    </w:p>
    <w:p w14:paraId="74DCB8AC"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Robani, A., &amp; Salih, K. (2018). Positioning islamic gift economy for sustainable development at the local level. </w:t>
      </w:r>
      <w:r w:rsidRPr="00B23396">
        <w:rPr>
          <w:rFonts w:ascii="Calibri" w:hAnsi="Calibri" w:cs="Calibri"/>
          <w:i/>
          <w:iCs/>
          <w:noProof/>
          <w:sz w:val="24"/>
          <w:szCs w:val="24"/>
        </w:rPr>
        <w:t>Humanities and Social Sciences Reviews</w:t>
      </w:r>
      <w:r w:rsidRPr="00B23396">
        <w:rPr>
          <w:rFonts w:ascii="Calibri" w:hAnsi="Calibri" w:cs="Calibri"/>
          <w:noProof/>
          <w:sz w:val="24"/>
          <w:szCs w:val="24"/>
        </w:rPr>
        <w:t xml:space="preserve">, </w:t>
      </w:r>
      <w:r w:rsidRPr="00B23396">
        <w:rPr>
          <w:rFonts w:ascii="Calibri" w:hAnsi="Calibri" w:cs="Calibri"/>
          <w:i/>
          <w:iCs/>
          <w:noProof/>
          <w:sz w:val="24"/>
          <w:szCs w:val="24"/>
        </w:rPr>
        <w:t>6</w:t>
      </w:r>
      <w:r w:rsidRPr="00B23396">
        <w:rPr>
          <w:rFonts w:ascii="Calibri" w:hAnsi="Calibri" w:cs="Calibri"/>
          <w:noProof/>
          <w:sz w:val="24"/>
          <w:szCs w:val="24"/>
        </w:rPr>
        <w:t>(2), 111–120. https://doi.org/10.18510/hssr.2018.6214</w:t>
      </w:r>
    </w:p>
    <w:p w14:paraId="52A5861C"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Rochani, A., Yuliastuti, N., &amp; Sudarwanto, B. (2022). the Existence of Waqf in Establishing a Sustainable Communal Space. </w:t>
      </w:r>
      <w:r w:rsidRPr="00B23396">
        <w:rPr>
          <w:rFonts w:ascii="Calibri" w:hAnsi="Calibri" w:cs="Calibri"/>
          <w:i/>
          <w:iCs/>
          <w:noProof/>
          <w:sz w:val="24"/>
          <w:szCs w:val="24"/>
        </w:rPr>
        <w:t>Journal of Islamic Architecture</w:t>
      </w:r>
      <w:r w:rsidRPr="00B23396">
        <w:rPr>
          <w:rFonts w:ascii="Calibri" w:hAnsi="Calibri" w:cs="Calibri"/>
          <w:noProof/>
          <w:sz w:val="24"/>
          <w:szCs w:val="24"/>
        </w:rPr>
        <w:t xml:space="preserve">, </w:t>
      </w:r>
      <w:r w:rsidRPr="00B23396">
        <w:rPr>
          <w:rFonts w:ascii="Calibri" w:hAnsi="Calibri" w:cs="Calibri"/>
          <w:i/>
          <w:iCs/>
          <w:noProof/>
          <w:sz w:val="24"/>
          <w:szCs w:val="24"/>
        </w:rPr>
        <w:t>7</w:t>
      </w:r>
      <w:r w:rsidRPr="00B23396">
        <w:rPr>
          <w:rFonts w:ascii="Calibri" w:hAnsi="Calibri" w:cs="Calibri"/>
          <w:noProof/>
          <w:sz w:val="24"/>
          <w:szCs w:val="24"/>
        </w:rPr>
        <w:t>(1), 57–66. https://doi.org/10.18860/jia.v7i1.15310</w:t>
      </w:r>
    </w:p>
    <w:p w14:paraId="3316C21B"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Sapuan, N. M., &amp; Zeni, N. A. M. (2021). The determinants of waqf sustainability in malaysia: A pls-sem analysis. </w:t>
      </w:r>
      <w:r w:rsidRPr="00B23396">
        <w:rPr>
          <w:rFonts w:ascii="Calibri" w:hAnsi="Calibri" w:cs="Calibri"/>
          <w:i/>
          <w:iCs/>
          <w:noProof/>
          <w:sz w:val="24"/>
          <w:szCs w:val="24"/>
        </w:rPr>
        <w:t>International Journal of Business and Society</w:t>
      </w:r>
      <w:r w:rsidRPr="00B23396">
        <w:rPr>
          <w:rFonts w:ascii="Calibri" w:hAnsi="Calibri" w:cs="Calibri"/>
          <w:noProof/>
          <w:sz w:val="24"/>
          <w:szCs w:val="24"/>
        </w:rPr>
        <w:t xml:space="preserve">, </w:t>
      </w:r>
      <w:r w:rsidRPr="00B23396">
        <w:rPr>
          <w:rFonts w:ascii="Calibri" w:hAnsi="Calibri" w:cs="Calibri"/>
          <w:i/>
          <w:iCs/>
          <w:noProof/>
          <w:sz w:val="24"/>
          <w:szCs w:val="24"/>
        </w:rPr>
        <w:t>22</w:t>
      </w:r>
      <w:r w:rsidRPr="00B23396">
        <w:rPr>
          <w:rFonts w:ascii="Calibri" w:hAnsi="Calibri" w:cs="Calibri"/>
          <w:noProof/>
          <w:sz w:val="24"/>
          <w:szCs w:val="24"/>
        </w:rPr>
        <w:t>(1), 102–118. https://doi.org/10.33736/IJBS.3164.2021</w:t>
      </w:r>
    </w:p>
    <w:p w14:paraId="0B2148CC"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Shulthoni, S. and. (2018). Waqf fundraising management: a conceptual comparison between traditional and modern methods in the waqf institutions. In </w:t>
      </w:r>
      <w:r w:rsidRPr="00B23396">
        <w:rPr>
          <w:rFonts w:ascii="Calibri" w:hAnsi="Calibri" w:cs="Calibri"/>
          <w:i/>
          <w:iCs/>
          <w:noProof/>
          <w:sz w:val="24"/>
          <w:szCs w:val="24"/>
        </w:rPr>
        <w:t xml:space="preserve">Indonesian Journal of Islam </w:t>
      </w:r>
      <w:r w:rsidRPr="00B23396">
        <w:rPr>
          <w:rFonts w:ascii="Calibri" w:hAnsi="Calibri" w:cs="Calibri"/>
          <w:i/>
          <w:iCs/>
          <w:noProof/>
          <w:sz w:val="24"/>
          <w:szCs w:val="24"/>
        </w:rPr>
        <w:lastRenderedPageBreak/>
        <w:t>and Muslim Societies</w:t>
      </w:r>
      <w:r w:rsidRPr="00B23396">
        <w:rPr>
          <w:rFonts w:ascii="Calibri" w:hAnsi="Calibri" w:cs="Calibri"/>
          <w:noProof/>
          <w:sz w:val="24"/>
          <w:szCs w:val="24"/>
        </w:rPr>
        <w:t xml:space="preserve"> (Vol. 8, Issue 1). https://doi.org/10.18326/ijims.v8i1.57-86</w:t>
      </w:r>
    </w:p>
    <w:p w14:paraId="16F27C6C"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Sipan, I., Abas, F. N., Ghazali, N. A., &amp; Yaacob, A. C. (2021). An investigation of the issues of tenancy management practice: The case of commercial waqf properties in malaysia. </w:t>
      </w:r>
      <w:r w:rsidRPr="00B23396">
        <w:rPr>
          <w:rFonts w:ascii="Calibri" w:hAnsi="Calibri" w:cs="Calibri"/>
          <w:i/>
          <w:iCs/>
          <w:noProof/>
          <w:sz w:val="24"/>
          <w:szCs w:val="24"/>
        </w:rPr>
        <w:t>Planning Malaysia</w:t>
      </w:r>
      <w:r w:rsidRPr="00B23396">
        <w:rPr>
          <w:rFonts w:ascii="Calibri" w:hAnsi="Calibri" w:cs="Calibri"/>
          <w:noProof/>
          <w:sz w:val="24"/>
          <w:szCs w:val="24"/>
        </w:rPr>
        <w:t xml:space="preserve">, </w:t>
      </w:r>
      <w:r w:rsidRPr="00B23396">
        <w:rPr>
          <w:rFonts w:ascii="Calibri" w:hAnsi="Calibri" w:cs="Calibri"/>
          <w:i/>
          <w:iCs/>
          <w:noProof/>
          <w:sz w:val="24"/>
          <w:szCs w:val="24"/>
        </w:rPr>
        <w:t>19</w:t>
      </w:r>
      <w:r w:rsidRPr="00B23396">
        <w:rPr>
          <w:rFonts w:ascii="Calibri" w:hAnsi="Calibri" w:cs="Calibri"/>
          <w:noProof/>
          <w:sz w:val="24"/>
          <w:szCs w:val="24"/>
        </w:rPr>
        <w:t>(3), 283–294. https://doi.org/10.21837/PM.V19I17.1006</w:t>
      </w:r>
    </w:p>
    <w:p w14:paraId="6F9C0B8E"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Sudrajat, R., Ruchjana, B. N., Abdullah, A. S., &amp; Budiarto, R. (2023). Query Model Framework Design for Conservation History and Endowments Database: A Case Study on the Digitization of the Sumedang Larang Kingdom’s History and Endowments in Indonesia. </w:t>
      </w:r>
      <w:r w:rsidRPr="00B23396">
        <w:rPr>
          <w:rFonts w:ascii="Calibri" w:hAnsi="Calibri" w:cs="Calibri"/>
          <w:i/>
          <w:iCs/>
          <w:noProof/>
          <w:sz w:val="24"/>
          <w:szCs w:val="24"/>
        </w:rPr>
        <w:t>Heritage</w:t>
      </w:r>
      <w:r w:rsidRPr="00B23396">
        <w:rPr>
          <w:rFonts w:ascii="Calibri" w:hAnsi="Calibri" w:cs="Calibri"/>
          <w:noProof/>
          <w:sz w:val="24"/>
          <w:szCs w:val="24"/>
        </w:rPr>
        <w:t xml:space="preserve">, </w:t>
      </w:r>
      <w:r w:rsidRPr="00B23396">
        <w:rPr>
          <w:rFonts w:ascii="Calibri" w:hAnsi="Calibri" w:cs="Calibri"/>
          <w:i/>
          <w:iCs/>
          <w:noProof/>
          <w:sz w:val="24"/>
          <w:szCs w:val="24"/>
        </w:rPr>
        <w:t>6</w:t>
      </w:r>
      <w:r w:rsidRPr="00B23396">
        <w:rPr>
          <w:rFonts w:ascii="Calibri" w:hAnsi="Calibri" w:cs="Calibri"/>
          <w:noProof/>
          <w:sz w:val="24"/>
          <w:szCs w:val="24"/>
        </w:rPr>
        <w:t>(12), 7508–7530. https://doi.org/10.3390/heritage6120394</w:t>
      </w:r>
    </w:p>
    <w:p w14:paraId="50743BFF"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Sulaiman, M., &amp; Alhaji Zakari, M. (2019). Financial sustainability of state waqf institutions (SWIs) in Malaysia. </w:t>
      </w:r>
      <w:r w:rsidRPr="00B23396">
        <w:rPr>
          <w:rFonts w:ascii="Calibri" w:hAnsi="Calibri" w:cs="Calibri"/>
          <w:i/>
          <w:iCs/>
          <w:noProof/>
          <w:sz w:val="24"/>
          <w:szCs w:val="24"/>
        </w:rPr>
        <w:t>Journal of Islamic Accounting and Business Research</w:t>
      </w:r>
      <w:r w:rsidRPr="00B23396">
        <w:rPr>
          <w:rFonts w:ascii="Calibri" w:hAnsi="Calibri" w:cs="Calibri"/>
          <w:noProof/>
          <w:sz w:val="24"/>
          <w:szCs w:val="24"/>
        </w:rPr>
        <w:t xml:space="preserve">, </w:t>
      </w:r>
      <w:r w:rsidRPr="00B23396">
        <w:rPr>
          <w:rFonts w:ascii="Calibri" w:hAnsi="Calibri" w:cs="Calibri"/>
          <w:i/>
          <w:iCs/>
          <w:noProof/>
          <w:sz w:val="24"/>
          <w:szCs w:val="24"/>
        </w:rPr>
        <w:t>10</w:t>
      </w:r>
      <w:r w:rsidRPr="00B23396">
        <w:rPr>
          <w:rFonts w:ascii="Calibri" w:hAnsi="Calibri" w:cs="Calibri"/>
          <w:noProof/>
          <w:sz w:val="24"/>
          <w:szCs w:val="24"/>
        </w:rPr>
        <w:t>(2), 236–258. https://doi.org/10.1108/JIABR-05-2016-0054</w:t>
      </w:r>
    </w:p>
    <w:p w14:paraId="162E97C1"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Sulaiman, S., Hasan, A., Mohd Noor, A., Ismail, M. I., &amp; Noordin, N. H. (2019). Proposed models for unit trust waqf and the parameters for their application. </w:t>
      </w:r>
      <w:r w:rsidRPr="00B23396">
        <w:rPr>
          <w:rFonts w:ascii="Calibri" w:hAnsi="Calibri" w:cs="Calibri"/>
          <w:i/>
          <w:iCs/>
          <w:noProof/>
          <w:sz w:val="24"/>
          <w:szCs w:val="24"/>
        </w:rPr>
        <w:t>ISRA International Journal of Islamic Finance</w:t>
      </w:r>
      <w:r w:rsidRPr="00B23396">
        <w:rPr>
          <w:rFonts w:ascii="Calibri" w:hAnsi="Calibri" w:cs="Calibri"/>
          <w:noProof/>
          <w:sz w:val="24"/>
          <w:szCs w:val="24"/>
        </w:rPr>
        <w:t xml:space="preserve">, </w:t>
      </w:r>
      <w:r w:rsidRPr="00B23396">
        <w:rPr>
          <w:rFonts w:ascii="Calibri" w:hAnsi="Calibri" w:cs="Calibri"/>
          <w:i/>
          <w:iCs/>
          <w:noProof/>
          <w:sz w:val="24"/>
          <w:szCs w:val="24"/>
        </w:rPr>
        <w:t>11</w:t>
      </w:r>
      <w:r w:rsidRPr="00B23396">
        <w:rPr>
          <w:rFonts w:ascii="Calibri" w:hAnsi="Calibri" w:cs="Calibri"/>
          <w:noProof/>
          <w:sz w:val="24"/>
          <w:szCs w:val="24"/>
        </w:rPr>
        <w:t>(1), 62–81. https://doi.org/10.1108/IJIF-02-2018-0019</w:t>
      </w:r>
    </w:p>
    <w:p w14:paraId="14809318"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Tahiri Jouti, A. (2019). An integrated approach for building sustainable Islamic social finance ecosystems. </w:t>
      </w:r>
      <w:r w:rsidRPr="00B23396">
        <w:rPr>
          <w:rFonts w:ascii="Calibri" w:hAnsi="Calibri" w:cs="Calibri"/>
          <w:i/>
          <w:iCs/>
          <w:noProof/>
          <w:sz w:val="24"/>
          <w:szCs w:val="24"/>
        </w:rPr>
        <w:t>ISRA International Journal of Islamic Finance</w:t>
      </w:r>
      <w:r w:rsidRPr="00B23396">
        <w:rPr>
          <w:rFonts w:ascii="Calibri" w:hAnsi="Calibri" w:cs="Calibri"/>
          <w:noProof/>
          <w:sz w:val="24"/>
          <w:szCs w:val="24"/>
        </w:rPr>
        <w:t xml:space="preserve">, </w:t>
      </w:r>
      <w:r w:rsidRPr="00B23396">
        <w:rPr>
          <w:rFonts w:ascii="Calibri" w:hAnsi="Calibri" w:cs="Calibri"/>
          <w:i/>
          <w:iCs/>
          <w:noProof/>
          <w:sz w:val="24"/>
          <w:szCs w:val="24"/>
        </w:rPr>
        <w:t>11</w:t>
      </w:r>
      <w:r w:rsidRPr="00B23396">
        <w:rPr>
          <w:rFonts w:ascii="Calibri" w:hAnsi="Calibri" w:cs="Calibri"/>
          <w:noProof/>
          <w:sz w:val="24"/>
          <w:szCs w:val="24"/>
        </w:rPr>
        <w:t>(2), 246–266. https://doi.org/10.1108/IJIF-10-2018-0118</w:t>
      </w:r>
    </w:p>
    <w:p w14:paraId="2397BA3D"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Widiastuti, T., Prasetyo, A., Robani, A., Mawardi, I., Rosida, R., &amp; Al Mustofa, M. U. (2022). Toward developing a sustainability index for the Islamic Social Finance program: An empirical investigation. </w:t>
      </w:r>
      <w:r w:rsidRPr="00B23396">
        <w:rPr>
          <w:rFonts w:ascii="Calibri" w:hAnsi="Calibri" w:cs="Calibri"/>
          <w:i/>
          <w:iCs/>
          <w:noProof/>
          <w:sz w:val="24"/>
          <w:szCs w:val="24"/>
        </w:rPr>
        <w:t>PLoS ONE</w:t>
      </w:r>
      <w:r w:rsidRPr="00B23396">
        <w:rPr>
          <w:rFonts w:ascii="Calibri" w:hAnsi="Calibri" w:cs="Calibri"/>
          <w:noProof/>
          <w:sz w:val="24"/>
          <w:szCs w:val="24"/>
        </w:rPr>
        <w:t xml:space="preserve">, </w:t>
      </w:r>
      <w:r w:rsidRPr="00B23396">
        <w:rPr>
          <w:rFonts w:ascii="Calibri" w:hAnsi="Calibri" w:cs="Calibri"/>
          <w:i/>
          <w:iCs/>
          <w:noProof/>
          <w:sz w:val="24"/>
          <w:szCs w:val="24"/>
        </w:rPr>
        <w:t>17</w:t>
      </w:r>
      <w:r w:rsidRPr="00B23396">
        <w:rPr>
          <w:rFonts w:ascii="Calibri" w:hAnsi="Calibri" w:cs="Calibri"/>
          <w:noProof/>
          <w:sz w:val="24"/>
          <w:szCs w:val="24"/>
        </w:rPr>
        <w:t>(11 November), 1–26. https://doi.org/10.1371/journal.pone.0276876</w:t>
      </w:r>
    </w:p>
    <w:p w14:paraId="0ED08AAF"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Wijaya, R. P. (2023). Cash Waqf Linked Dinfra (Cwl-Fra) As Waqf Innovation Model Integrated With Infrastructure Instrument for National Economic Recovery and Sustainability. </w:t>
      </w:r>
      <w:r w:rsidRPr="00B23396">
        <w:rPr>
          <w:rFonts w:ascii="Calibri" w:hAnsi="Calibri" w:cs="Calibri"/>
          <w:i/>
          <w:iCs/>
          <w:noProof/>
          <w:sz w:val="24"/>
          <w:szCs w:val="24"/>
        </w:rPr>
        <w:t>Malaysian Journal of Syariah and Law</w:t>
      </w:r>
      <w:r w:rsidRPr="00B23396">
        <w:rPr>
          <w:rFonts w:ascii="Calibri" w:hAnsi="Calibri" w:cs="Calibri"/>
          <w:noProof/>
          <w:sz w:val="24"/>
          <w:szCs w:val="24"/>
        </w:rPr>
        <w:t xml:space="preserve">, </w:t>
      </w:r>
      <w:r w:rsidRPr="00B23396">
        <w:rPr>
          <w:rFonts w:ascii="Calibri" w:hAnsi="Calibri" w:cs="Calibri"/>
          <w:i/>
          <w:iCs/>
          <w:noProof/>
          <w:sz w:val="24"/>
          <w:szCs w:val="24"/>
        </w:rPr>
        <w:t>11</w:t>
      </w:r>
      <w:r w:rsidRPr="00B23396">
        <w:rPr>
          <w:rFonts w:ascii="Calibri" w:hAnsi="Calibri" w:cs="Calibri"/>
          <w:noProof/>
          <w:sz w:val="24"/>
          <w:szCs w:val="24"/>
        </w:rPr>
        <w:t>(2), 330–343. https://doi.org/10.33102/mjsl.vol11no2.422</w:t>
      </w:r>
    </w:p>
    <w:p w14:paraId="71650ADA"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Winarsih, R., Masrifah, A. R., &amp; Umam, K. (2019). the Integration of Islamic Commercial and Social Economy Through Productive Waqf To Promote Pesantren Welfare. </w:t>
      </w:r>
      <w:r w:rsidRPr="00B23396">
        <w:rPr>
          <w:rFonts w:ascii="Calibri" w:hAnsi="Calibri" w:cs="Calibri"/>
          <w:i/>
          <w:iCs/>
          <w:noProof/>
          <w:sz w:val="24"/>
          <w:szCs w:val="24"/>
        </w:rPr>
        <w:t>Journal of Islamic Monetary Economics and Finance</w:t>
      </w:r>
      <w:r w:rsidRPr="00B23396">
        <w:rPr>
          <w:rFonts w:ascii="Calibri" w:hAnsi="Calibri" w:cs="Calibri"/>
          <w:noProof/>
          <w:sz w:val="24"/>
          <w:szCs w:val="24"/>
        </w:rPr>
        <w:t xml:space="preserve">, </w:t>
      </w:r>
      <w:r w:rsidRPr="00B23396">
        <w:rPr>
          <w:rFonts w:ascii="Calibri" w:hAnsi="Calibri" w:cs="Calibri"/>
          <w:i/>
          <w:iCs/>
          <w:noProof/>
          <w:sz w:val="24"/>
          <w:szCs w:val="24"/>
        </w:rPr>
        <w:t>5</w:t>
      </w:r>
      <w:r w:rsidRPr="00B23396">
        <w:rPr>
          <w:rFonts w:ascii="Calibri" w:hAnsi="Calibri" w:cs="Calibri"/>
          <w:noProof/>
          <w:sz w:val="24"/>
          <w:szCs w:val="24"/>
        </w:rPr>
        <w:t>(2), 321–340. https://doi.org/10.21098/jimf.v5i2.1065</w:t>
      </w:r>
    </w:p>
    <w:p w14:paraId="4C5E3EA3"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Zairul, M. (2021a). A thematic Review on Industrialised Building System (IBS) Publications from 2015-2019: Analysis of Patterns and Trends for Future Studies of IBS in Malaysia. </w:t>
      </w:r>
      <w:r w:rsidRPr="00B23396">
        <w:rPr>
          <w:rFonts w:ascii="Calibri" w:hAnsi="Calibri" w:cs="Calibri"/>
          <w:i/>
          <w:iCs/>
          <w:noProof/>
          <w:sz w:val="24"/>
          <w:szCs w:val="24"/>
        </w:rPr>
        <w:t>Pertanika Journal of Social Sciences and Humanities</w:t>
      </w:r>
      <w:r w:rsidRPr="00B23396">
        <w:rPr>
          <w:rFonts w:ascii="Calibri" w:hAnsi="Calibri" w:cs="Calibri"/>
          <w:noProof/>
          <w:sz w:val="24"/>
          <w:szCs w:val="24"/>
        </w:rPr>
        <w:t xml:space="preserve">, </w:t>
      </w:r>
      <w:r w:rsidRPr="00B23396">
        <w:rPr>
          <w:rFonts w:ascii="Calibri" w:hAnsi="Calibri" w:cs="Calibri"/>
          <w:i/>
          <w:iCs/>
          <w:noProof/>
          <w:sz w:val="24"/>
          <w:szCs w:val="24"/>
        </w:rPr>
        <w:t>29</w:t>
      </w:r>
      <w:r w:rsidRPr="00B23396">
        <w:rPr>
          <w:rFonts w:ascii="Calibri" w:hAnsi="Calibri" w:cs="Calibri"/>
          <w:noProof/>
          <w:sz w:val="24"/>
          <w:szCs w:val="24"/>
        </w:rPr>
        <w:t>(1), 635–652. https://doi.org/10.47836/pjssh.29.1.35</w:t>
      </w:r>
    </w:p>
    <w:p w14:paraId="5695CD5A"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Zairul, M. (2021b). Opening the Pandora Box of Issues in the Industrialized Building System in Malaysia : A Thematic Review. </w:t>
      </w:r>
      <w:r w:rsidRPr="00B23396">
        <w:rPr>
          <w:rFonts w:ascii="Calibri" w:hAnsi="Calibri" w:cs="Calibri"/>
          <w:i/>
          <w:iCs/>
          <w:noProof/>
          <w:sz w:val="24"/>
          <w:szCs w:val="24"/>
        </w:rPr>
        <w:t>Journal of Applied Science and Engineering</w:t>
      </w:r>
      <w:r w:rsidRPr="00B23396">
        <w:rPr>
          <w:rFonts w:ascii="Calibri" w:hAnsi="Calibri" w:cs="Calibri"/>
          <w:noProof/>
          <w:sz w:val="24"/>
          <w:szCs w:val="24"/>
        </w:rPr>
        <w:t xml:space="preserve">, </w:t>
      </w:r>
      <w:r w:rsidRPr="00B23396">
        <w:rPr>
          <w:rFonts w:ascii="Calibri" w:hAnsi="Calibri" w:cs="Calibri"/>
          <w:i/>
          <w:iCs/>
          <w:noProof/>
          <w:sz w:val="24"/>
          <w:szCs w:val="24"/>
        </w:rPr>
        <w:t>25</w:t>
      </w:r>
      <w:r w:rsidRPr="00B23396">
        <w:rPr>
          <w:rFonts w:ascii="Calibri" w:hAnsi="Calibri" w:cs="Calibri"/>
          <w:noProof/>
          <w:sz w:val="24"/>
          <w:szCs w:val="24"/>
        </w:rPr>
        <w:t>, 297–310. https://doi.org/10.6180/jase.202204_25(2).0006 1.</w:t>
      </w:r>
    </w:p>
    <w:p w14:paraId="4BF3E33D"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Zairul, M. (2023). </w:t>
      </w:r>
      <w:r w:rsidRPr="00B23396">
        <w:rPr>
          <w:rFonts w:ascii="Calibri" w:hAnsi="Calibri" w:cs="Calibri"/>
          <w:i/>
          <w:iCs/>
          <w:noProof/>
          <w:sz w:val="24"/>
          <w:szCs w:val="24"/>
        </w:rPr>
        <w:t>Thematic Review template</w:t>
      </w:r>
      <w:r w:rsidRPr="00B23396">
        <w:rPr>
          <w:rFonts w:ascii="Calibri" w:hAnsi="Calibri" w:cs="Calibri"/>
          <w:noProof/>
          <w:sz w:val="24"/>
          <w:szCs w:val="24"/>
        </w:rPr>
        <w:t xml:space="preserve"> (Patent No. CRLY2023W02032). Controller of Copyright.</w:t>
      </w:r>
    </w:p>
    <w:p w14:paraId="66618A6D"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Zairul, M., Azli, M., &amp; Azlan, A. (2023). Defying tradition or maintaining the status quo? Moving towards a new hybrid architecture studio education to support blended learning post-COVID-19. </w:t>
      </w:r>
      <w:r w:rsidRPr="00B23396">
        <w:rPr>
          <w:rFonts w:ascii="Calibri" w:hAnsi="Calibri" w:cs="Calibri"/>
          <w:i/>
          <w:iCs/>
          <w:noProof/>
          <w:sz w:val="24"/>
          <w:szCs w:val="24"/>
        </w:rPr>
        <w:t>Archnet-IJAR: International Journal of Architectural Research</w:t>
      </w:r>
      <w:r w:rsidRPr="00B23396">
        <w:rPr>
          <w:rFonts w:ascii="Calibri" w:hAnsi="Calibri" w:cs="Calibri"/>
          <w:noProof/>
          <w:sz w:val="24"/>
          <w:szCs w:val="24"/>
        </w:rPr>
        <w:t>. https://doi.org/10.1108/ARCH-11-2022-0251</w:t>
      </w:r>
    </w:p>
    <w:p w14:paraId="47086DAF"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Zairul, M., &amp; Mohd Zairul. (2020). A THEMATIC REVIEW ON STUDENT-CENTRED LEARNING IN THE STUDIO EDUCATION. </w:t>
      </w:r>
      <w:r w:rsidRPr="00B23396">
        <w:rPr>
          <w:rFonts w:ascii="Calibri" w:hAnsi="Calibri" w:cs="Calibri"/>
          <w:i/>
          <w:iCs/>
          <w:noProof/>
          <w:sz w:val="24"/>
          <w:szCs w:val="24"/>
        </w:rPr>
        <w:t>Journal of Critical Reviews</w:t>
      </w:r>
      <w:r w:rsidRPr="00B23396">
        <w:rPr>
          <w:rFonts w:ascii="Calibri" w:hAnsi="Calibri" w:cs="Calibri"/>
          <w:noProof/>
          <w:sz w:val="24"/>
          <w:szCs w:val="24"/>
        </w:rPr>
        <w:t xml:space="preserve">, </w:t>
      </w:r>
      <w:r w:rsidRPr="00B23396">
        <w:rPr>
          <w:rFonts w:ascii="Calibri" w:hAnsi="Calibri" w:cs="Calibri"/>
          <w:i/>
          <w:iCs/>
          <w:noProof/>
          <w:sz w:val="24"/>
          <w:szCs w:val="24"/>
        </w:rPr>
        <w:t>7</w:t>
      </w:r>
      <w:r w:rsidRPr="00B23396">
        <w:rPr>
          <w:rFonts w:ascii="Calibri" w:hAnsi="Calibri" w:cs="Calibri"/>
          <w:noProof/>
          <w:sz w:val="24"/>
          <w:szCs w:val="24"/>
        </w:rPr>
        <w:t>(02), 504–511. https://doi.org/10.31838/jcr.07.02.95</w:t>
      </w:r>
    </w:p>
    <w:p w14:paraId="2964B69B"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Zarkasyi, H. F. (2020). Imam Zarkasyi’s modernization of pesantren in Indonesia: (A case study of darussalam gontor). </w:t>
      </w:r>
      <w:r w:rsidRPr="00B23396">
        <w:rPr>
          <w:rFonts w:ascii="Calibri" w:hAnsi="Calibri" w:cs="Calibri"/>
          <w:i/>
          <w:iCs/>
          <w:noProof/>
          <w:sz w:val="24"/>
          <w:szCs w:val="24"/>
        </w:rPr>
        <w:t>Qudus International Journal of Islamic Studies</w:t>
      </w:r>
      <w:r w:rsidRPr="00B23396">
        <w:rPr>
          <w:rFonts w:ascii="Calibri" w:hAnsi="Calibri" w:cs="Calibri"/>
          <w:noProof/>
          <w:sz w:val="24"/>
          <w:szCs w:val="24"/>
        </w:rPr>
        <w:t xml:space="preserve">, </w:t>
      </w:r>
      <w:r w:rsidRPr="00B23396">
        <w:rPr>
          <w:rFonts w:ascii="Calibri" w:hAnsi="Calibri" w:cs="Calibri"/>
          <w:i/>
          <w:iCs/>
          <w:noProof/>
          <w:sz w:val="24"/>
          <w:szCs w:val="24"/>
        </w:rPr>
        <w:t>8</w:t>
      </w:r>
      <w:r w:rsidRPr="00B23396">
        <w:rPr>
          <w:rFonts w:ascii="Calibri" w:hAnsi="Calibri" w:cs="Calibri"/>
          <w:noProof/>
          <w:sz w:val="24"/>
          <w:szCs w:val="24"/>
        </w:rPr>
        <w:t xml:space="preserve">(1), 161–200. </w:t>
      </w:r>
      <w:r w:rsidRPr="00B23396">
        <w:rPr>
          <w:rFonts w:ascii="Calibri" w:hAnsi="Calibri" w:cs="Calibri"/>
          <w:noProof/>
          <w:sz w:val="24"/>
          <w:szCs w:val="24"/>
        </w:rPr>
        <w:lastRenderedPageBreak/>
        <w:t>https://doi.org/10.21043/QIJIS.V8I1.5760</w:t>
      </w:r>
    </w:p>
    <w:p w14:paraId="17BE1E98" w14:textId="77777777" w:rsidR="00B23396" w:rsidRPr="00B23396" w:rsidRDefault="00B23396" w:rsidP="00B23396">
      <w:pPr>
        <w:widowControl w:val="0"/>
        <w:autoSpaceDE w:val="0"/>
        <w:autoSpaceDN w:val="0"/>
        <w:adjustRightInd w:val="0"/>
        <w:spacing w:after="0" w:line="240" w:lineRule="auto"/>
        <w:ind w:left="540" w:hanging="540"/>
        <w:jc w:val="both"/>
        <w:rPr>
          <w:rFonts w:ascii="Calibri" w:hAnsi="Calibri" w:cs="Calibri"/>
          <w:noProof/>
          <w:sz w:val="24"/>
          <w:szCs w:val="24"/>
        </w:rPr>
      </w:pPr>
      <w:r w:rsidRPr="00B23396">
        <w:rPr>
          <w:rFonts w:ascii="Calibri" w:hAnsi="Calibri" w:cs="Calibri"/>
          <w:noProof/>
          <w:sz w:val="24"/>
          <w:szCs w:val="24"/>
        </w:rPr>
        <w:t xml:space="preserve">Zawawi, Z., Yasin, Y., Helmy, M., Ma’yuf, A., &amp; Arwani, A. (2023). Waqf and sustainable development law: models of waqf institutions in the Kingdom of Saudi Arabia and Indonesia. </w:t>
      </w:r>
      <w:r w:rsidRPr="00B23396">
        <w:rPr>
          <w:rFonts w:ascii="Calibri" w:hAnsi="Calibri" w:cs="Calibri"/>
          <w:i/>
          <w:iCs/>
          <w:noProof/>
          <w:sz w:val="24"/>
          <w:szCs w:val="24"/>
        </w:rPr>
        <w:t>Ijtihad : Jurnal Wacana Hukum Islam Dan Kemanusiaan</w:t>
      </w:r>
      <w:r w:rsidRPr="00B23396">
        <w:rPr>
          <w:rFonts w:ascii="Calibri" w:hAnsi="Calibri" w:cs="Calibri"/>
          <w:noProof/>
          <w:sz w:val="24"/>
          <w:szCs w:val="24"/>
        </w:rPr>
        <w:t>. https://doi.org/10.18326/ijtihad.v23i1.93-114</w:t>
      </w:r>
    </w:p>
    <w:p w14:paraId="73A86F3A" w14:textId="77777777" w:rsidR="00B23396" w:rsidRPr="00B23396" w:rsidRDefault="00B23396" w:rsidP="00B23396">
      <w:pPr>
        <w:spacing w:after="0" w:line="240" w:lineRule="auto"/>
        <w:ind w:left="540" w:hanging="540"/>
        <w:jc w:val="both"/>
        <w:rPr>
          <w:rFonts w:ascii="Calibri" w:hAnsi="Calibri" w:cs="Calibri"/>
          <w:b/>
          <w:sz w:val="24"/>
          <w:szCs w:val="24"/>
        </w:rPr>
      </w:pPr>
      <w:r w:rsidRPr="00B23396">
        <w:rPr>
          <w:rFonts w:ascii="Calibri" w:hAnsi="Calibri" w:cs="Calibri"/>
          <w:b/>
          <w:sz w:val="24"/>
          <w:szCs w:val="24"/>
        </w:rPr>
        <w:fldChar w:fldCharType="end"/>
      </w:r>
    </w:p>
    <w:p w14:paraId="1FC00540" w14:textId="77777777" w:rsidR="00B23396" w:rsidRPr="00B23396" w:rsidRDefault="00B23396" w:rsidP="00B23396">
      <w:pPr>
        <w:spacing w:after="0" w:line="240" w:lineRule="auto"/>
        <w:ind w:left="540" w:hanging="540"/>
        <w:jc w:val="both"/>
        <w:rPr>
          <w:rFonts w:ascii="Calibri" w:hAnsi="Calibri" w:cs="Calibri"/>
          <w:b/>
          <w:sz w:val="24"/>
          <w:szCs w:val="24"/>
        </w:rPr>
      </w:pPr>
    </w:p>
    <w:p w14:paraId="48F14098" w14:textId="73EE77DF" w:rsidR="00B030C7" w:rsidRPr="00B23396" w:rsidRDefault="00B030C7" w:rsidP="00B23396">
      <w:pPr>
        <w:pStyle w:val="MDPI16affiliation"/>
        <w:spacing w:line="240" w:lineRule="auto"/>
        <w:ind w:left="540" w:hanging="540"/>
        <w:jc w:val="both"/>
        <w:rPr>
          <w:rFonts w:ascii="Calibri" w:hAnsi="Calibri" w:cs="Calibri"/>
          <w:sz w:val="24"/>
          <w:szCs w:val="24"/>
        </w:rPr>
      </w:pPr>
    </w:p>
    <w:sectPr w:rsidR="00B030C7" w:rsidRPr="00B23396" w:rsidSect="00D048F5">
      <w:headerReference w:type="default" r:id="rId20"/>
      <w:footerReference w:type="default" r:id="rId21"/>
      <w:footerReference w:type="first" r:id="rId22"/>
      <w:pgSz w:w="11910" w:h="16840"/>
      <w:pgMar w:top="1440" w:right="1440" w:bottom="1440" w:left="1440" w:header="720" w:footer="720" w:gutter="0"/>
      <w:pgNumType w:start="130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6B2EE" w14:textId="77777777" w:rsidR="00910944" w:rsidRDefault="00910944">
      <w:pPr>
        <w:spacing w:line="240" w:lineRule="auto"/>
      </w:pPr>
      <w:r>
        <w:separator/>
      </w:r>
    </w:p>
  </w:endnote>
  <w:endnote w:type="continuationSeparator" w:id="0">
    <w:p w14:paraId="42559B5C" w14:textId="77777777" w:rsidR="00910944" w:rsidRDefault="009109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STXinwei">
    <w:charset w:val="86"/>
    <w:family w:val="auto"/>
    <w:pitch w:val="variable"/>
    <w:sig w:usb0="00000001" w:usb1="080F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Roman">
    <w:altName w:val="Times New Roman"/>
    <w:charset w:val="00"/>
    <w:family w:val="roman"/>
    <w:pitch w:val="default"/>
    <w:sig w:usb0="A00002FF" w:usb1="7800205A" w:usb2="14600000" w:usb3="00000000" w:csb0="20000193" w:csb1="4D000000"/>
  </w:font>
  <w:font w:name="Palatino Linotype">
    <w:panose1 w:val="02040502050505030304"/>
    <w:charset w:val="00"/>
    <w:family w:val="roman"/>
    <w:pitch w:val="variable"/>
    <w:sig w:usb0="E0000287" w:usb1="40000013" w:usb2="00000000" w:usb3="00000000" w:csb0="0000019F" w:csb1="00000000"/>
  </w:font>
  <w:font w:name="NewtonC">
    <w:altName w:val="Cambria"/>
    <w:charset w:val="00"/>
    <w:family w:val="roman"/>
    <w:pitch w:val="default"/>
    <w:sig w:usb0="00000000" w:usb1="00000000" w:usb2="00000000" w:usb3="00000000" w:csb0="00000001" w:csb1="00000000"/>
  </w:font>
  <w:font w:name="Helvetica Neue">
    <w:altName w:val="Arial"/>
    <w:charset w:val="00"/>
    <w:family w:val="auto"/>
    <w:pitch w:val="default"/>
    <w:sig w:usb0="E50002FF" w:usb1="500079DB" w:usb2="00000010" w:usb3="00000000" w:csb0="00000000" w:csb1="00000000"/>
  </w:font>
  <w:font w:name="Arabic Transparent">
    <w:panose1 w:val="020B0604020202020204"/>
    <w:charset w:val="00"/>
    <w:family w:val="swiss"/>
    <w:pitch w:val="default"/>
    <w:sig w:usb0="00000000" w:usb1="00000000" w:usb2="00000009" w:usb3="00000000" w:csb0="000001FF" w:csb1="00000000"/>
  </w:font>
  <w:font w:name="Montserrat">
    <w:altName w:val="Montserrat"/>
    <w:charset w:val="00"/>
    <w:family w:val="auto"/>
    <w:pitch w:val="variable"/>
    <w:sig w:usb0="2000020F" w:usb1="00000003" w:usb2="00000000" w:usb3="00000000" w:csb0="00000197" w:csb1="00000000"/>
  </w:font>
  <w:font w:name="Simplified Arabic">
    <w:charset w:val="B2"/>
    <w:family w:val="roman"/>
    <w:pitch w:val="variable"/>
    <w:sig w:usb0="00002003" w:usb1="80000000" w:usb2="00000008" w:usb3="00000000" w:csb0="00000041" w:csb1="00000000"/>
  </w:font>
  <w:font w:name="Calvert MT Std Light">
    <w:altName w:val="Calvert MT Std Light"/>
    <w:charset w:val="00"/>
    <w:family w:val="roman"/>
    <w:pitch w:val="default"/>
    <w:sig w:usb0="00000000" w:usb1="00000000" w:usb2="00000000" w:usb3="00000000" w:csb0="00000001" w:csb1="00000000"/>
  </w:font>
  <w:font w:name="DIN Engschrift Std">
    <w:altName w:val="Arial"/>
    <w:charset w:val="00"/>
    <w:family w:val="swiss"/>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default"/>
    <w:sig w:usb0="E00002FF" w:usb1="7AE7FFFF" w:usb2="00000012" w:usb3="00000000" w:csb0="0002000D"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Optima">
    <w:charset w:val="00"/>
    <w:family w:val="auto"/>
    <w:pitch w:val="default"/>
    <w:sig w:usb0="80000067" w:usb1="00000000" w:usb2="00000000" w:usb3="00000000" w:csb0="00000001" w:csb1="00000000"/>
  </w:font>
  <w:font w:name="Adobe Caslon Pro">
    <w:altName w:val="Adobe Caslon Pro"/>
    <w:charset w:val="00"/>
    <w:family w:val="roman"/>
    <w:pitch w:val="default"/>
    <w:sig w:usb0="00000000"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dvOT4ac4c61e+20">
    <w:altName w:val="Times New Roman"/>
    <w:charset w:val="00"/>
    <w:family w:val="roman"/>
    <w:pitch w:val="default"/>
  </w:font>
  <w:font w:name="TimesNewRomanPS-ItalicMT">
    <w:altName w:val="Times New Roman"/>
    <w:charset w:val="00"/>
    <w:family w:val="roman"/>
    <w:pitch w:val="default"/>
    <w:sig w:usb0="E0002AEF" w:usb1="C0007841" w:usb2="00000009" w:usb3="00000000" w:csb0="400001FF" w:csb1="FFFF0000"/>
  </w:font>
  <w:font w:name="PT Serif">
    <w:charset w:val="00"/>
    <w:family w:val="roman"/>
    <w:pitch w:val="variable"/>
    <w:sig w:usb0="A00002EF" w:usb1="5000204B" w:usb2="00000000" w:usb3="00000000" w:csb0="00000097" w:csb1="00000000"/>
  </w:font>
  <w:font w:name="Roboto">
    <w:charset w:val="00"/>
    <w:family w:val="auto"/>
    <w:pitch w:val="variable"/>
    <w:sig w:usb0="E0000AFF" w:usb1="5000217F" w:usb2="00000021" w:usb3="00000000" w:csb0="0000019F" w:csb1="00000000"/>
  </w:font>
  <w:font w:name="Microsoft YaHei UI">
    <w:panose1 w:val="020B0503020204020204"/>
    <w:charset w:val="86"/>
    <w:family w:val="swiss"/>
    <w:pitch w:val="variable"/>
    <w:sig w:usb0="80000287" w:usb1="2ACF3C50" w:usb2="00000016" w:usb3="00000000" w:csb0="0004001F" w:csb1="00000000"/>
  </w:font>
  <w:font w:name="Meiryo">
    <w:charset w:val="80"/>
    <w:family w:val="swiss"/>
    <w:pitch w:val="variable"/>
    <w:sig w:usb0="E00002FF" w:usb1="6AC7FFFF" w:usb2="08000012" w:usb3="00000000" w:csb0="0002009F" w:csb1="00000000"/>
  </w:font>
  <w:font w:name="NimbusRomNo9L">
    <w:altName w:val="Calibri"/>
    <w:charset w:val="00"/>
    <w:family w:val="auto"/>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default"/>
    <w:sig w:usb0="00000000" w:usb1="00000000" w:usb2="00000000" w:usb3="00000000" w:csb0="00000003" w:csb1="00000000"/>
  </w:font>
  <w:font w:name="UniversLTStd-Bold">
    <w:altName w:val="Calibri"/>
    <w:charset w:val="00"/>
    <w:family w:val="auto"/>
    <w:pitch w:val="default"/>
    <w:sig w:usb0="00000000" w:usb1="00000000" w:usb2="00000000" w:usb3="00000000" w:csb0="00000001" w:csb1="00000000"/>
  </w:font>
  <w:font w:name="SabonLTStd-R">
    <w:altName w:val="Calibri"/>
    <w:charset w:val="00"/>
    <w:family w:val="auto"/>
    <w:pitch w:val="default"/>
    <w:sig w:usb0="00000000"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Palatino">
    <w:charset w:val="4D"/>
    <w:family w:val="auto"/>
    <w:pitch w:val="default"/>
    <w:sig w:usb0="A00002FF" w:usb1="7800205A" w:usb2="14600000" w:usb3="00000000" w:csb0="20000193" w:csb1="4D000000"/>
  </w:font>
  <w:font w:name="Helvetica Condensed">
    <w:altName w:val="Segoe Print"/>
    <w:charset w:val="00"/>
    <w:family w:val="auto"/>
    <w:pitch w:val="default"/>
    <w:sig w:usb0="00000000" w:usb1="00000000" w:usb2="00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Candara">
    <w:panose1 w:val="020E0502030303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9996872"/>
    </w:sdtPr>
    <w:sdtContent>
      <w:p w14:paraId="6F61F552" w14:textId="77777777" w:rsidR="00D22048" w:rsidRDefault="00000000">
        <w:pPr>
          <w:pStyle w:val="Footer"/>
          <w:jc w:val="center"/>
        </w:pPr>
        <w:r>
          <w:fldChar w:fldCharType="begin"/>
        </w:r>
        <w:r>
          <w:instrText xml:space="preserve"> PAGE   \* MERGEFORMAT </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5823570"/>
    </w:sdtPr>
    <w:sdtContent>
      <w:p w14:paraId="413A0FAE" w14:textId="77777777" w:rsidR="00D22048" w:rsidRDefault="00000000">
        <w:pPr>
          <w:pStyle w:val="Footer"/>
          <w:jc w:val="center"/>
        </w:pPr>
        <w:r>
          <w:fldChar w:fldCharType="begin"/>
        </w:r>
        <w:r>
          <w:instrText xml:space="preserve"> PAGE   \* MERGEFORMAT </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95A15" w14:textId="77777777" w:rsidR="00910944" w:rsidRDefault="00910944">
      <w:pPr>
        <w:spacing w:after="0"/>
      </w:pPr>
      <w:r>
        <w:separator/>
      </w:r>
    </w:p>
  </w:footnote>
  <w:footnote w:type="continuationSeparator" w:id="0">
    <w:p w14:paraId="432F047C" w14:textId="77777777" w:rsidR="00910944" w:rsidRDefault="009109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A395F" w14:textId="77777777" w:rsidR="00D22048" w:rsidRDefault="00000000">
    <w:pPr>
      <w:widowControl w:val="0"/>
      <w:autoSpaceDE w:val="0"/>
      <w:autoSpaceDN w:val="0"/>
      <w:adjustRightInd w:val="0"/>
      <w:spacing w:after="0" w:line="240" w:lineRule="auto"/>
      <w:rPr>
        <w:rFonts w:ascii="Roboto" w:hAnsi="Roboto"/>
        <w:b/>
        <w:bCs/>
        <w:color w:val="1F3864" w:themeColor="accent1" w:themeShade="80"/>
        <w:spacing w:val="-6"/>
        <w:w w:val="85"/>
        <w:sz w:val="24"/>
        <w:szCs w:val="24"/>
        <w:lang w:val="en-GB"/>
      </w:rPr>
    </w:pPr>
    <w:r>
      <w:rPr>
        <w:rFonts w:ascii="Roboto" w:hAnsi="Roboto"/>
        <w:b/>
        <w:bCs/>
        <w:color w:val="1F3864" w:themeColor="accent1" w:themeShade="80"/>
        <w:spacing w:val="-6"/>
        <w:w w:val="85"/>
        <w:sz w:val="24"/>
        <w:szCs w:val="24"/>
        <w:lang w:val="en-GB"/>
      </w:rPr>
      <w:t>INTERNATIONAL JOURNAL OF ACADEMIC RESEARCH IN BUSINESS AND SOCIAL SCIENCES</w:t>
    </w:r>
  </w:p>
  <w:p w14:paraId="110FA5DF" w14:textId="26D2D986" w:rsidR="003D5338" w:rsidRPr="005B3ED7" w:rsidRDefault="00000000" w:rsidP="005B3ED7">
    <w:pPr>
      <w:spacing w:after="0" w:line="240" w:lineRule="auto"/>
      <w:rPr>
        <w:b/>
        <w:bCs/>
        <w:sz w:val="16"/>
        <w:szCs w:val="16"/>
        <w:lang w:val="en-GB" w:eastAsia="pl-PL"/>
      </w:rPr>
    </w:pPr>
    <w:r>
      <w:rPr>
        <w:b/>
        <w:bCs/>
        <w:spacing w:val="-18"/>
        <w:sz w:val="16"/>
        <w:szCs w:val="16"/>
        <w:lang w:val="en-GB" w:eastAsia="pl-PL"/>
      </w:rPr>
      <w:t>V</w:t>
    </w:r>
    <w:r>
      <w:rPr>
        <w:b/>
        <w:bCs/>
        <w:sz w:val="16"/>
        <w:szCs w:val="16"/>
        <w:lang w:val="en-GB" w:eastAsia="pl-PL"/>
      </w:rPr>
      <w:t>ol.</w:t>
    </w:r>
    <w:r>
      <w:rPr>
        <w:b/>
        <w:bCs/>
        <w:spacing w:val="22"/>
        <w:sz w:val="16"/>
        <w:szCs w:val="16"/>
        <w:lang w:val="en-GB" w:eastAsia="pl-PL"/>
      </w:rPr>
      <w:t xml:space="preserve"> 15</w:t>
    </w:r>
    <w:r>
      <w:rPr>
        <w:b/>
        <w:bCs/>
        <w:sz w:val="16"/>
        <w:szCs w:val="16"/>
        <w:lang w:val="en-GB" w:eastAsia="pl-PL"/>
      </w:rPr>
      <w:t>,</w:t>
    </w:r>
    <w:r>
      <w:rPr>
        <w:b/>
        <w:bCs/>
        <w:spacing w:val="11"/>
        <w:sz w:val="16"/>
        <w:szCs w:val="16"/>
        <w:lang w:val="en-GB" w:eastAsia="pl-PL"/>
      </w:rPr>
      <w:t xml:space="preserve"> </w:t>
    </w:r>
    <w:r>
      <w:rPr>
        <w:b/>
        <w:bCs/>
        <w:sz w:val="16"/>
        <w:szCs w:val="16"/>
        <w:lang w:val="en-GB" w:eastAsia="pl-PL"/>
      </w:rPr>
      <w:t xml:space="preserve">No. </w:t>
    </w:r>
    <w:r w:rsidR="0019042C">
      <w:rPr>
        <w:b/>
        <w:bCs/>
        <w:sz w:val="16"/>
        <w:szCs w:val="16"/>
        <w:lang w:val="en-GB" w:eastAsia="pl-PL"/>
      </w:rPr>
      <w:t>2</w:t>
    </w:r>
    <w:r>
      <w:rPr>
        <w:b/>
        <w:bCs/>
        <w:sz w:val="16"/>
        <w:szCs w:val="16"/>
        <w:lang w:val="en-GB" w:eastAsia="pl-PL"/>
      </w:rPr>
      <w:t>, 2025,</w:t>
    </w:r>
    <w:r>
      <w:rPr>
        <w:b/>
        <w:bCs/>
        <w:spacing w:val="8"/>
        <w:sz w:val="16"/>
        <w:szCs w:val="16"/>
        <w:lang w:val="en-GB" w:eastAsia="pl-PL"/>
      </w:rPr>
      <w:t xml:space="preserve"> </w:t>
    </w:r>
    <w:r>
      <w:rPr>
        <w:b/>
        <w:bCs/>
        <w:position w:val="1"/>
        <w:sz w:val="16"/>
        <w:szCs w:val="16"/>
        <w:lang w:val="en-GB" w:eastAsia="pl-PL"/>
      </w:rPr>
      <w:t>E-ISSN:</w:t>
    </w:r>
    <w:r>
      <w:rPr>
        <w:b/>
        <w:bCs/>
        <w:spacing w:val="17"/>
        <w:position w:val="1"/>
        <w:sz w:val="16"/>
        <w:szCs w:val="16"/>
        <w:lang w:val="en-GB" w:eastAsia="pl-PL"/>
      </w:rPr>
      <w:t xml:space="preserve"> 2222</w:t>
    </w:r>
    <w:r>
      <w:rPr>
        <w:b/>
        <w:bCs/>
        <w:position w:val="1"/>
        <w:sz w:val="16"/>
        <w:szCs w:val="16"/>
        <w:lang w:val="en-GB" w:eastAsia="pl-PL"/>
      </w:rPr>
      <w:t xml:space="preserve">-6990 </w:t>
    </w:r>
    <w:r>
      <w:rPr>
        <w:b/>
        <w:bCs/>
        <w:sz w:val="16"/>
        <w:szCs w:val="16"/>
        <w:lang w:val="en-GB" w:eastAsia="pl-PL"/>
      </w:rPr>
      <w: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0BA816"/>
    <w:multiLevelType w:val="singleLevel"/>
    <w:tmpl w:val="830BA816"/>
    <w:lvl w:ilvl="0">
      <w:start w:val="1"/>
      <w:numFmt w:val="decimal"/>
      <w:pStyle w:val="ListNumber5"/>
      <w:lvlText w:val="%1)"/>
      <w:lvlJc w:val="left"/>
      <w:pPr>
        <w:ind w:left="5360" w:hanging="425"/>
      </w:pPr>
      <w:rPr>
        <w:rFonts w:hint="default"/>
      </w:rPr>
    </w:lvl>
  </w:abstractNum>
  <w:abstractNum w:abstractNumId="1" w15:restartNumberingAfterBreak="0">
    <w:nsid w:val="85293E16"/>
    <w:multiLevelType w:val="multilevel"/>
    <w:tmpl w:val="85293E16"/>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15:restartNumberingAfterBreak="0">
    <w:nsid w:val="94E208BA"/>
    <w:multiLevelType w:val="singleLevel"/>
    <w:tmpl w:val="94E208BA"/>
    <w:lvl w:ilvl="0">
      <w:start w:val="1"/>
      <w:numFmt w:val="decimal"/>
      <w:suff w:val="space"/>
      <w:lvlText w:val="%1."/>
      <w:lvlJc w:val="left"/>
    </w:lvl>
  </w:abstractNum>
  <w:abstractNum w:abstractNumId="3" w15:restartNumberingAfterBreak="0">
    <w:nsid w:val="A2B26287"/>
    <w:multiLevelType w:val="singleLevel"/>
    <w:tmpl w:val="A2B26287"/>
    <w:lvl w:ilvl="0">
      <w:start w:val="1"/>
      <w:numFmt w:val="upperLetter"/>
      <w:suff w:val="space"/>
      <w:lvlText w:val="%1."/>
      <w:lvlJc w:val="left"/>
    </w:lvl>
  </w:abstractNum>
  <w:abstractNum w:abstractNumId="4" w15:restartNumberingAfterBreak="0">
    <w:nsid w:val="AA4FF19E"/>
    <w:multiLevelType w:val="singleLevel"/>
    <w:tmpl w:val="AA4FF19E"/>
    <w:lvl w:ilvl="0">
      <w:start w:val="1"/>
      <w:numFmt w:val="decimal"/>
      <w:lvlText w:val="%1."/>
      <w:lvlJc w:val="left"/>
      <w:pPr>
        <w:tabs>
          <w:tab w:val="left" w:pos="312"/>
        </w:tabs>
        <w:ind w:left="165" w:firstLine="0"/>
      </w:pPr>
    </w:lvl>
  </w:abstractNum>
  <w:abstractNum w:abstractNumId="5" w15:restartNumberingAfterBreak="0">
    <w:nsid w:val="AC6F0A73"/>
    <w:multiLevelType w:val="singleLevel"/>
    <w:tmpl w:val="AC6F0A73"/>
    <w:lvl w:ilvl="0">
      <w:start w:val="5"/>
      <w:numFmt w:val="decimal"/>
      <w:suff w:val="space"/>
      <w:lvlText w:val="%1."/>
      <w:lvlJc w:val="left"/>
    </w:lvl>
  </w:abstractNum>
  <w:abstractNum w:abstractNumId="6" w15:restartNumberingAfterBreak="0">
    <w:nsid w:val="F29E9A6B"/>
    <w:multiLevelType w:val="singleLevel"/>
    <w:tmpl w:val="F29E9A6B"/>
    <w:lvl w:ilvl="0">
      <w:start w:val="1"/>
      <w:numFmt w:val="upperLetter"/>
      <w:suff w:val="space"/>
      <w:lvlText w:val="%1."/>
      <w:lvlJc w:val="left"/>
    </w:lvl>
  </w:abstractNum>
  <w:abstractNum w:abstractNumId="7" w15:restartNumberingAfterBreak="0">
    <w:nsid w:val="FFFFFF7E"/>
    <w:multiLevelType w:val="singleLevel"/>
    <w:tmpl w:val="4F5E1726"/>
    <w:lvl w:ilvl="0">
      <w:start w:val="1"/>
      <w:numFmt w:val="decimal"/>
      <w:lvlText w:val="%1."/>
      <w:lvlJc w:val="left"/>
      <w:pPr>
        <w:tabs>
          <w:tab w:val="num" w:pos="720"/>
        </w:tabs>
        <w:ind w:left="1080" w:hanging="360"/>
      </w:pPr>
      <w:rPr>
        <w:rFonts w:ascii="Times New Roman" w:hAnsi="Times New Roman" w:hint="default"/>
        <w:sz w:val="24"/>
        <w:szCs w:val="24"/>
      </w:rPr>
    </w:lvl>
  </w:abstractNum>
  <w:abstractNum w:abstractNumId="8" w15:restartNumberingAfterBreak="0">
    <w:nsid w:val="FFFFFFFB"/>
    <w:multiLevelType w:val="multilevel"/>
    <w:tmpl w:val="CD50F150"/>
    <w:lvl w:ilvl="0">
      <w:start w:val="1"/>
      <w:numFmt w:val="decimal"/>
      <w:lvlText w:val="%1."/>
      <w:lvlJc w:val="left"/>
      <w:pPr>
        <w:tabs>
          <w:tab w:val="num" w:pos="360"/>
        </w:tabs>
        <w:ind w:left="0" w:firstLine="0"/>
      </w:pPr>
      <w:rPr>
        <w:rFonts w:ascii="Times New Roman" w:hAnsi="Times New Roman" w:hint="default"/>
        <w:b/>
        <w:i w:val="0"/>
        <w:sz w:val="18"/>
      </w:rPr>
    </w:lvl>
    <w:lvl w:ilvl="1">
      <w:start w:val="1"/>
      <w:numFmt w:val="decimal"/>
      <w:lvlText w:val="%1.%2"/>
      <w:lvlJc w:val="left"/>
      <w:pPr>
        <w:tabs>
          <w:tab w:val="num" w:pos="360"/>
        </w:tabs>
        <w:ind w:left="0" w:firstLine="0"/>
      </w:pPr>
      <w:rPr>
        <w:rFonts w:ascii="Times New Roman" w:hAnsi="Times New Roman" w:hint="default"/>
        <w:b/>
        <w:i w:val="0"/>
        <w:sz w:val="18"/>
        <w:u w:val="none"/>
      </w:rPr>
    </w:lvl>
    <w:lvl w:ilvl="2">
      <w:start w:val="1"/>
      <w:numFmt w:val="decimal"/>
      <w:lvlText w:val="%1.%2.%3"/>
      <w:lvlJc w:val="left"/>
      <w:pPr>
        <w:tabs>
          <w:tab w:val="num" w:pos="720"/>
        </w:tabs>
        <w:ind w:left="0" w:firstLine="0"/>
      </w:pPr>
      <w:rPr>
        <w:rFonts w:ascii="Times New Roman" w:hAnsi="Times New Roman" w:hint="default"/>
        <w:b/>
        <w:i w:val="0"/>
        <w:sz w:val="18"/>
        <w:u w:val="none"/>
      </w:rPr>
    </w:lvl>
    <w:lvl w:ilvl="3">
      <w:start w:val="1"/>
      <w:numFmt w:val="decimal"/>
      <w:lvlText w:val="%1.%2.%3.%4"/>
      <w:lvlJc w:val="left"/>
      <w:pPr>
        <w:tabs>
          <w:tab w:val="num" w:pos="0"/>
        </w:tabs>
        <w:ind w:left="0" w:firstLine="0"/>
      </w:pPr>
      <w:rPr>
        <w:rFonts w:ascii="Times New Roman" w:hAnsi="Times New Roman" w:hint="default"/>
        <w:b w:val="0"/>
        <w:i w:val="0"/>
        <w:sz w:val="22"/>
      </w:rPr>
    </w:lvl>
    <w:lvl w:ilvl="4">
      <w:start w:val="1"/>
      <w:numFmt w:val="decimal"/>
      <w:lvlText w:val="(%5)"/>
      <w:lvlJc w:val="left"/>
      <w:pPr>
        <w:tabs>
          <w:tab w:val="num" w:pos="0"/>
        </w:tabs>
        <w:ind w:left="708" w:hanging="708"/>
      </w:pPr>
    </w:lvl>
    <w:lvl w:ilvl="5">
      <w:start w:val="1"/>
      <w:numFmt w:val="lowerLetter"/>
      <w:lvlText w:val="(%6)"/>
      <w:lvlJc w:val="left"/>
      <w:pPr>
        <w:tabs>
          <w:tab w:val="num" w:pos="0"/>
        </w:tabs>
        <w:ind w:left="1416" w:hanging="708"/>
      </w:pPr>
    </w:lvl>
    <w:lvl w:ilvl="6">
      <w:start w:val="1"/>
      <w:numFmt w:val="lowerRoman"/>
      <w:lvlText w:val="(%7)"/>
      <w:lvlJc w:val="left"/>
      <w:pPr>
        <w:tabs>
          <w:tab w:val="num" w:pos="0"/>
        </w:tabs>
        <w:ind w:left="2124" w:hanging="708"/>
      </w:pPr>
    </w:lvl>
    <w:lvl w:ilvl="7">
      <w:start w:val="1"/>
      <w:numFmt w:val="lowerLetter"/>
      <w:lvlText w:val="(%8)"/>
      <w:lvlJc w:val="left"/>
      <w:pPr>
        <w:tabs>
          <w:tab w:val="num" w:pos="0"/>
        </w:tabs>
        <w:ind w:left="2832" w:hanging="708"/>
      </w:pPr>
    </w:lvl>
    <w:lvl w:ilvl="8">
      <w:start w:val="1"/>
      <w:numFmt w:val="lowerRoman"/>
      <w:lvlText w:val="(%9)"/>
      <w:lvlJc w:val="left"/>
      <w:pPr>
        <w:tabs>
          <w:tab w:val="num" w:pos="0"/>
        </w:tabs>
        <w:ind w:left="3540" w:hanging="708"/>
      </w:pPr>
    </w:lvl>
  </w:abstractNum>
  <w:abstractNum w:abstractNumId="9" w15:restartNumberingAfterBreak="0">
    <w:nsid w:val="0053208E"/>
    <w:multiLevelType w:val="multilevel"/>
    <w:tmpl w:val="00532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0532B5B"/>
    <w:multiLevelType w:val="multilevel"/>
    <w:tmpl w:val="139E1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06B41BE"/>
    <w:multiLevelType w:val="multilevel"/>
    <w:tmpl w:val="A1026F1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009A48E1"/>
    <w:multiLevelType w:val="multilevel"/>
    <w:tmpl w:val="5C2C7C0E"/>
    <w:lvl w:ilvl="0">
      <w:start w:val="2"/>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00B42A1B"/>
    <w:multiLevelType w:val="multilevel"/>
    <w:tmpl w:val="F2C4F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0D05BF7"/>
    <w:multiLevelType w:val="multilevel"/>
    <w:tmpl w:val="A606C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0ED30CE"/>
    <w:multiLevelType w:val="multilevel"/>
    <w:tmpl w:val="00ED30CE"/>
    <w:lvl w:ilvl="0">
      <w:start w:val="1"/>
      <w:numFmt w:val="decimal"/>
      <w:pStyle w:val="ListNumber3"/>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185" w:hanging="46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899" w:hanging="40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625" w:hanging="46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ind w:left="3345" w:hanging="46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4059" w:hanging="40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4785" w:hanging="46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5505" w:hanging="46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6219" w:hanging="4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013D4123"/>
    <w:multiLevelType w:val="hybridMultilevel"/>
    <w:tmpl w:val="418C255A"/>
    <w:lvl w:ilvl="0" w:tplc="F340A8D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1C046CC"/>
    <w:multiLevelType w:val="hybridMultilevel"/>
    <w:tmpl w:val="620A8C1E"/>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8" w15:restartNumberingAfterBreak="0">
    <w:nsid w:val="02274543"/>
    <w:multiLevelType w:val="multilevel"/>
    <w:tmpl w:val="D4EABFA4"/>
    <w:lvl w:ilvl="0">
      <w:start w:val="1"/>
      <w:numFmt w:val="decimal"/>
      <w:lvlText w:val="%1.0"/>
      <w:lvlJc w:val="left"/>
      <w:pPr>
        <w:ind w:left="400" w:hanging="400"/>
      </w:pPr>
      <w:rPr>
        <w:rFonts w:eastAsia="STXinwei" w:hint="default"/>
      </w:rPr>
    </w:lvl>
    <w:lvl w:ilvl="1">
      <w:start w:val="1"/>
      <w:numFmt w:val="decimal"/>
      <w:lvlText w:val="%1.%2"/>
      <w:lvlJc w:val="left"/>
      <w:pPr>
        <w:ind w:left="1120" w:hanging="400"/>
      </w:pPr>
      <w:rPr>
        <w:rFonts w:eastAsia="STXinwei" w:hint="default"/>
      </w:rPr>
    </w:lvl>
    <w:lvl w:ilvl="2">
      <w:start w:val="1"/>
      <w:numFmt w:val="decimal"/>
      <w:lvlText w:val="%1.%2.%3"/>
      <w:lvlJc w:val="left"/>
      <w:pPr>
        <w:ind w:left="2160" w:hanging="720"/>
      </w:pPr>
      <w:rPr>
        <w:rFonts w:eastAsia="STXinwei" w:hint="default"/>
      </w:rPr>
    </w:lvl>
    <w:lvl w:ilvl="3">
      <w:start w:val="1"/>
      <w:numFmt w:val="decimal"/>
      <w:lvlText w:val="%1.%2.%3.%4"/>
      <w:lvlJc w:val="left"/>
      <w:pPr>
        <w:ind w:left="3240" w:hanging="1080"/>
      </w:pPr>
      <w:rPr>
        <w:rFonts w:eastAsia="STXinwei" w:hint="default"/>
      </w:rPr>
    </w:lvl>
    <w:lvl w:ilvl="4">
      <w:start w:val="1"/>
      <w:numFmt w:val="decimal"/>
      <w:lvlText w:val="%1.%2.%3.%4.%5"/>
      <w:lvlJc w:val="left"/>
      <w:pPr>
        <w:ind w:left="3960" w:hanging="1080"/>
      </w:pPr>
      <w:rPr>
        <w:rFonts w:eastAsia="STXinwei" w:hint="default"/>
      </w:rPr>
    </w:lvl>
    <w:lvl w:ilvl="5">
      <w:start w:val="1"/>
      <w:numFmt w:val="decimal"/>
      <w:lvlText w:val="%1.%2.%3.%4.%5.%6"/>
      <w:lvlJc w:val="left"/>
      <w:pPr>
        <w:ind w:left="5040" w:hanging="1440"/>
      </w:pPr>
      <w:rPr>
        <w:rFonts w:eastAsia="STXinwei" w:hint="default"/>
      </w:rPr>
    </w:lvl>
    <w:lvl w:ilvl="6">
      <w:start w:val="1"/>
      <w:numFmt w:val="decimal"/>
      <w:lvlText w:val="%1.%2.%3.%4.%5.%6.%7"/>
      <w:lvlJc w:val="left"/>
      <w:pPr>
        <w:ind w:left="5760" w:hanging="1440"/>
      </w:pPr>
      <w:rPr>
        <w:rFonts w:eastAsia="STXinwei" w:hint="default"/>
      </w:rPr>
    </w:lvl>
    <w:lvl w:ilvl="7">
      <w:start w:val="1"/>
      <w:numFmt w:val="decimal"/>
      <w:lvlText w:val="%1.%2.%3.%4.%5.%6.%7.%8"/>
      <w:lvlJc w:val="left"/>
      <w:pPr>
        <w:ind w:left="6840" w:hanging="1800"/>
      </w:pPr>
      <w:rPr>
        <w:rFonts w:eastAsia="STXinwei" w:hint="default"/>
      </w:rPr>
    </w:lvl>
    <w:lvl w:ilvl="8">
      <w:start w:val="1"/>
      <w:numFmt w:val="decimal"/>
      <w:lvlText w:val="%1.%2.%3.%4.%5.%6.%7.%8.%9"/>
      <w:lvlJc w:val="left"/>
      <w:pPr>
        <w:ind w:left="7560" w:hanging="1800"/>
      </w:pPr>
      <w:rPr>
        <w:rFonts w:eastAsia="STXinwei" w:hint="default"/>
      </w:rPr>
    </w:lvl>
  </w:abstractNum>
  <w:abstractNum w:abstractNumId="19" w15:restartNumberingAfterBreak="0">
    <w:nsid w:val="03627B3C"/>
    <w:multiLevelType w:val="hybridMultilevel"/>
    <w:tmpl w:val="3D4C1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3726383"/>
    <w:multiLevelType w:val="multilevel"/>
    <w:tmpl w:val="C29C6052"/>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03806227"/>
    <w:multiLevelType w:val="multilevel"/>
    <w:tmpl w:val="9FFE5B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41A0E3A"/>
    <w:multiLevelType w:val="multilevel"/>
    <w:tmpl w:val="065A2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493231F"/>
    <w:multiLevelType w:val="hybridMultilevel"/>
    <w:tmpl w:val="FEAA89C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15:restartNumberingAfterBreak="0">
    <w:nsid w:val="04AE486D"/>
    <w:multiLevelType w:val="multilevel"/>
    <w:tmpl w:val="61A6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4FE2BDD"/>
    <w:multiLevelType w:val="multilevel"/>
    <w:tmpl w:val="FF5C2A84"/>
    <w:lvl w:ilvl="0">
      <w:start w:val="1"/>
      <w:numFmt w:val="decimal"/>
      <w:lvlText w:val="%1"/>
      <w:lvlJc w:val="left"/>
      <w:pPr>
        <w:ind w:left="400" w:hanging="400"/>
      </w:pPr>
      <w:rPr>
        <w:rFonts w:hint="default"/>
      </w:rPr>
    </w:lvl>
    <w:lvl w:ilvl="1">
      <w:start w:val="6"/>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057B645F"/>
    <w:multiLevelType w:val="multilevel"/>
    <w:tmpl w:val="D7B25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5930FAD"/>
    <w:multiLevelType w:val="hybridMultilevel"/>
    <w:tmpl w:val="3998DA54"/>
    <w:lvl w:ilvl="0" w:tplc="4409001B">
      <w:start w:val="1"/>
      <w:numFmt w:val="lowerRoman"/>
      <w:lvlText w:val="%1."/>
      <w:lvlJc w:val="righ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8" w15:restartNumberingAfterBreak="0">
    <w:nsid w:val="05F940DF"/>
    <w:multiLevelType w:val="hybridMultilevel"/>
    <w:tmpl w:val="B7A48D56"/>
    <w:lvl w:ilvl="0" w:tplc="4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67D075D"/>
    <w:multiLevelType w:val="multilevel"/>
    <w:tmpl w:val="067D07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06EA785F"/>
    <w:multiLevelType w:val="hybridMultilevel"/>
    <w:tmpl w:val="5FCEE7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075A45F6"/>
    <w:multiLevelType w:val="hybridMultilevel"/>
    <w:tmpl w:val="DE2018CC"/>
    <w:lvl w:ilvl="0" w:tplc="9D3EEEAE">
      <w:start w:val="1"/>
      <w:numFmt w:val="decimal"/>
      <w:lvlText w:val="%1."/>
      <w:lvlJc w:val="left"/>
      <w:pPr>
        <w:ind w:left="720" w:hanging="360"/>
      </w:pPr>
      <w:rPr>
        <w:rFonts w:hint="default"/>
        <w:b/>
      </w:rPr>
    </w:lvl>
    <w:lvl w:ilvl="1" w:tplc="38EAE274" w:tentative="1">
      <w:start w:val="1"/>
      <w:numFmt w:val="lowerLetter"/>
      <w:lvlText w:val="%2."/>
      <w:lvlJc w:val="left"/>
      <w:pPr>
        <w:ind w:left="1440" w:hanging="360"/>
      </w:pPr>
    </w:lvl>
    <w:lvl w:ilvl="2" w:tplc="1A40748C" w:tentative="1">
      <w:start w:val="1"/>
      <w:numFmt w:val="lowerRoman"/>
      <w:lvlText w:val="%3."/>
      <w:lvlJc w:val="right"/>
      <w:pPr>
        <w:ind w:left="2160" w:hanging="180"/>
      </w:pPr>
    </w:lvl>
    <w:lvl w:ilvl="3" w:tplc="BDC23AB4" w:tentative="1">
      <w:start w:val="1"/>
      <w:numFmt w:val="decimal"/>
      <w:lvlText w:val="%4."/>
      <w:lvlJc w:val="left"/>
      <w:pPr>
        <w:ind w:left="2880" w:hanging="360"/>
      </w:pPr>
    </w:lvl>
    <w:lvl w:ilvl="4" w:tplc="953CAE1A" w:tentative="1">
      <w:start w:val="1"/>
      <w:numFmt w:val="lowerLetter"/>
      <w:lvlText w:val="%5."/>
      <w:lvlJc w:val="left"/>
      <w:pPr>
        <w:ind w:left="3600" w:hanging="360"/>
      </w:pPr>
    </w:lvl>
    <w:lvl w:ilvl="5" w:tplc="A120C464" w:tentative="1">
      <w:start w:val="1"/>
      <w:numFmt w:val="lowerRoman"/>
      <w:lvlText w:val="%6."/>
      <w:lvlJc w:val="right"/>
      <w:pPr>
        <w:ind w:left="4320" w:hanging="180"/>
      </w:pPr>
    </w:lvl>
    <w:lvl w:ilvl="6" w:tplc="C122C188" w:tentative="1">
      <w:start w:val="1"/>
      <w:numFmt w:val="decimal"/>
      <w:lvlText w:val="%7."/>
      <w:lvlJc w:val="left"/>
      <w:pPr>
        <w:ind w:left="5040" w:hanging="360"/>
      </w:pPr>
    </w:lvl>
    <w:lvl w:ilvl="7" w:tplc="3A703D90" w:tentative="1">
      <w:start w:val="1"/>
      <w:numFmt w:val="lowerLetter"/>
      <w:lvlText w:val="%8."/>
      <w:lvlJc w:val="left"/>
      <w:pPr>
        <w:ind w:left="5760" w:hanging="360"/>
      </w:pPr>
    </w:lvl>
    <w:lvl w:ilvl="8" w:tplc="193A3C14" w:tentative="1">
      <w:start w:val="1"/>
      <w:numFmt w:val="lowerRoman"/>
      <w:lvlText w:val="%9."/>
      <w:lvlJc w:val="right"/>
      <w:pPr>
        <w:ind w:left="6480" w:hanging="180"/>
      </w:pPr>
    </w:lvl>
  </w:abstractNum>
  <w:abstractNum w:abstractNumId="32" w15:restartNumberingAfterBreak="0">
    <w:nsid w:val="078B0441"/>
    <w:multiLevelType w:val="hybridMultilevel"/>
    <w:tmpl w:val="70723AD6"/>
    <w:lvl w:ilvl="0" w:tplc="9474A85C">
      <w:start w:val="1"/>
      <w:numFmt w:val="decimal"/>
      <w:lvlText w:val="(%1)"/>
      <w:lvlJc w:val="left"/>
      <w:pPr>
        <w:ind w:left="1080" w:hanging="360"/>
      </w:pPr>
      <w:rPr>
        <w:rFonts w:hint="default"/>
      </w:rPr>
    </w:lvl>
    <w:lvl w:ilvl="1" w:tplc="04090019" w:tentative="1">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abstractNum w:abstractNumId="33" w15:restartNumberingAfterBreak="0">
    <w:nsid w:val="078B0D34"/>
    <w:multiLevelType w:val="hybridMultilevel"/>
    <w:tmpl w:val="CE923CB4"/>
    <w:lvl w:ilvl="0" w:tplc="80166728">
      <w:start w:val="1"/>
      <w:numFmt w:val="decimal"/>
      <w:lvlText w:val="%1."/>
      <w:lvlJc w:val="left"/>
      <w:pPr>
        <w:ind w:left="720" w:hanging="360"/>
      </w:pPr>
      <w:rPr>
        <w:rFonts w:hint="default"/>
      </w:rPr>
    </w:lvl>
    <w:lvl w:ilvl="1" w:tplc="D4E8466A" w:tentative="1">
      <w:start w:val="1"/>
      <w:numFmt w:val="lowerLetter"/>
      <w:lvlText w:val="%2."/>
      <w:lvlJc w:val="left"/>
      <w:pPr>
        <w:ind w:left="1440" w:hanging="360"/>
      </w:pPr>
    </w:lvl>
    <w:lvl w:ilvl="2" w:tplc="D792747A" w:tentative="1">
      <w:start w:val="1"/>
      <w:numFmt w:val="lowerRoman"/>
      <w:lvlText w:val="%3."/>
      <w:lvlJc w:val="right"/>
      <w:pPr>
        <w:ind w:left="2160" w:hanging="180"/>
      </w:pPr>
    </w:lvl>
    <w:lvl w:ilvl="3" w:tplc="EF9A65FA" w:tentative="1">
      <w:start w:val="1"/>
      <w:numFmt w:val="decimal"/>
      <w:lvlText w:val="%4."/>
      <w:lvlJc w:val="left"/>
      <w:pPr>
        <w:ind w:left="2880" w:hanging="360"/>
      </w:pPr>
    </w:lvl>
    <w:lvl w:ilvl="4" w:tplc="A03CCD22" w:tentative="1">
      <w:start w:val="1"/>
      <w:numFmt w:val="lowerLetter"/>
      <w:lvlText w:val="%5."/>
      <w:lvlJc w:val="left"/>
      <w:pPr>
        <w:ind w:left="3600" w:hanging="360"/>
      </w:pPr>
    </w:lvl>
    <w:lvl w:ilvl="5" w:tplc="1EB45150" w:tentative="1">
      <w:start w:val="1"/>
      <w:numFmt w:val="lowerRoman"/>
      <w:lvlText w:val="%6."/>
      <w:lvlJc w:val="right"/>
      <w:pPr>
        <w:ind w:left="4320" w:hanging="180"/>
      </w:pPr>
    </w:lvl>
    <w:lvl w:ilvl="6" w:tplc="CE4CE314" w:tentative="1">
      <w:start w:val="1"/>
      <w:numFmt w:val="decimal"/>
      <w:lvlText w:val="%7."/>
      <w:lvlJc w:val="left"/>
      <w:pPr>
        <w:ind w:left="5040" w:hanging="360"/>
      </w:pPr>
    </w:lvl>
    <w:lvl w:ilvl="7" w:tplc="FA3ED60A" w:tentative="1">
      <w:start w:val="1"/>
      <w:numFmt w:val="lowerLetter"/>
      <w:lvlText w:val="%8."/>
      <w:lvlJc w:val="left"/>
      <w:pPr>
        <w:ind w:left="5760" w:hanging="360"/>
      </w:pPr>
    </w:lvl>
    <w:lvl w:ilvl="8" w:tplc="F50A0276" w:tentative="1">
      <w:start w:val="1"/>
      <w:numFmt w:val="lowerRoman"/>
      <w:lvlText w:val="%9."/>
      <w:lvlJc w:val="right"/>
      <w:pPr>
        <w:ind w:left="6480" w:hanging="180"/>
      </w:pPr>
    </w:lvl>
  </w:abstractNum>
  <w:abstractNum w:abstractNumId="34" w15:restartNumberingAfterBreak="0">
    <w:nsid w:val="07A626AA"/>
    <w:multiLevelType w:val="hybridMultilevel"/>
    <w:tmpl w:val="AC7A4D50"/>
    <w:lvl w:ilvl="0" w:tplc="3F18104E">
      <w:start w:val="1"/>
      <w:numFmt w:val="lowerRoman"/>
      <w:lvlText w:val="%1."/>
      <w:lvlJc w:val="right"/>
      <w:pPr>
        <w:ind w:left="720" w:hanging="360"/>
      </w:pPr>
    </w:lvl>
    <w:lvl w:ilvl="1" w:tplc="CC08F372" w:tentative="1">
      <w:start w:val="1"/>
      <w:numFmt w:val="lowerLetter"/>
      <w:lvlText w:val="%2."/>
      <w:lvlJc w:val="left"/>
      <w:pPr>
        <w:ind w:left="1440" w:hanging="360"/>
      </w:pPr>
    </w:lvl>
    <w:lvl w:ilvl="2" w:tplc="0D722554" w:tentative="1">
      <w:start w:val="1"/>
      <w:numFmt w:val="lowerRoman"/>
      <w:lvlText w:val="%3."/>
      <w:lvlJc w:val="right"/>
      <w:pPr>
        <w:ind w:left="2160" w:hanging="180"/>
      </w:pPr>
    </w:lvl>
    <w:lvl w:ilvl="3" w:tplc="4DFC444C" w:tentative="1">
      <w:start w:val="1"/>
      <w:numFmt w:val="decimal"/>
      <w:lvlText w:val="%4."/>
      <w:lvlJc w:val="left"/>
      <w:pPr>
        <w:ind w:left="2880" w:hanging="360"/>
      </w:pPr>
    </w:lvl>
    <w:lvl w:ilvl="4" w:tplc="6F88487A" w:tentative="1">
      <w:start w:val="1"/>
      <w:numFmt w:val="lowerLetter"/>
      <w:lvlText w:val="%5."/>
      <w:lvlJc w:val="left"/>
      <w:pPr>
        <w:ind w:left="3600" w:hanging="360"/>
      </w:pPr>
    </w:lvl>
    <w:lvl w:ilvl="5" w:tplc="F63848B2" w:tentative="1">
      <w:start w:val="1"/>
      <w:numFmt w:val="lowerRoman"/>
      <w:lvlText w:val="%6."/>
      <w:lvlJc w:val="right"/>
      <w:pPr>
        <w:ind w:left="4320" w:hanging="180"/>
      </w:pPr>
    </w:lvl>
    <w:lvl w:ilvl="6" w:tplc="3A0E7DFC" w:tentative="1">
      <w:start w:val="1"/>
      <w:numFmt w:val="decimal"/>
      <w:lvlText w:val="%7."/>
      <w:lvlJc w:val="left"/>
      <w:pPr>
        <w:ind w:left="5040" w:hanging="360"/>
      </w:pPr>
    </w:lvl>
    <w:lvl w:ilvl="7" w:tplc="C3B8DC32" w:tentative="1">
      <w:start w:val="1"/>
      <w:numFmt w:val="lowerLetter"/>
      <w:lvlText w:val="%8."/>
      <w:lvlJc w:val="left"/>
      <w:pPr>
        <w:ind w:left="5760" w:hanging="360"/>
      </w:pPr>
    </w:lvl>
    <w:lvl w:ilvl="8" w:tplc="015C9084" w:tentative="1">
      <w:start w:val="1"/>
      <w:numFmt w:val="lowerRoman"/>
      <w:lvlText w:val="%9."/>
      <w:lvlJc w:val="right"/>
      <w:pPr>
        <w:ind w:left="6480" w:hanging="180"/>
      </w:pPr>
    </w:lvl>
  </w:abstractNum>
  <w:abstractNum w:abstractNumId="35" w15:restartNumberingAfterBreak="0">
    <w:nsid w:val="0817078C"/>
    <w:multiLevelType w:val="hybridMultilevel"/>
    <w:tmpl w:val="5FCEE7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083C2369"/>
    <w:multiLevelType w:val="multilevel"/>
    <w:tmpl w:val="34306614"/>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089D1763"/>
    <w:multiLevelType w:val="hybridMultilevel"/>
    <w:tmpl w:val="C56A2C3E"/>
    <w:lvl w:ilvl="0" w:tplc="400A3BD2">
      <w:start w:val="1"/>
      <w:numFmt w:val="bullet"/>
      <w:lvlText w:val=""/>
      <w:lvlJc w:val="left"/>
      <w:pPr>
        <w:ind w:left="720" w:hanging="360"/>
      </w:pPr>
      <w:rPr>
        <w:rFonts w:ascii="Wingdings" w:hAnsi="Wingdings" w:hint="default"/>
      </w:rPr>
    </w:lvl>
    <w:lvl w:ilvl="1" w:tplc="5A7806FA" w:tentative="1">
      <w:start w:val="1"/>
      <w:numFmt w:val="bullet"/>
      <w:lvlText w:val="o"/>
      <w:lvlJc w:val="left"/>
      <w:pPr>
        <w:ind w:left="1440" w:hanging="360"/>
      </w:pPr>
      <w:rPr>
        <w:rFonts w:ascii="Courier New" w:hAnsi="Courier New" w:cs="Courier New" w:hint="default"/>
      </w:rPr>
    </w:lvl>
    <w:lvl w:ilvl="2" w:tplc="ED28BF60" w:tentative="1">
      <w:start w:val="1"/>
      <w:numFmt w:val="bullet"/>
      <w:lvlText w:val=""/>
      <w:lvlJc w:val="left"/>
      <w:pPr>
        <w:ind w:left="2160" w:hanging="360"/>
      </w:pPr>
      <w:rPr>
        <w:rFonts w:ascii="Wingdings" w:hAnsi="Wingdings" w:hint="default"/>
      </w:rPr>
    </w:lvl>
    <w:lvl w:ilvl="3" w:tplc="754420E4" w:tentative="1">
      <w:start w:val="1"/>
      <w:numFmt w:val="bullet"/>
      <w:lvlText w:val=""/>
      <w:lvlJc w:val="left"/>
      <w:pPr>
        <w:ind w:left="2880" w:hanging="360"/>
      </w:pPr>
      <w:rPr>
        <w:rFonts w:ascii="Symbol" w:hAnsi="Symbol" w:hint="default"/>
      </w:rPr>
    </w:lvl>
    <w:lvl w:ilvl="4" w:tplc="3A9256AA" w:tentative="1">
      <w:start w:val="1"/>
      <w:numFmt w:val="bullet"/>
      <w:lvlText w:val="o"/>
      <w:lvlJc w:val="left"/>
      <w:pPr>
        <w:ind w:left="3600" w:hanging="360"/>
      </w:pPr>
      <w:rPr>
        <w:rFonts w:ascii="Courier New" w:hAnsi="Courier New" w:cs="Courier New" w:hint="default"/>
      </w:rPr>
    </w:lvl>
    <w:lvl w:ilvl="5" w:tplc="100606B8" w:tentative="1">
      <w:start w:val="1"/>
      <w:numFmt w:val="bullet"/>
      <w:lvlText w:val=""/>
      <w:lvlJc w:val="left"/>
      <w:pPr>
        <w:ind w:left="4320" w:hanging="360"/>
      </w:pPr>
      <w:rPr>
        <w:rFonts w:ascii="Wingdings" w:hAnsi="Wingdings" w:hint="default"/>
      </w:rPr>
    </w:lvl>
    <w:lvl w:ilvl="6" w:tplc="0968150E" w:tentative="1">
      <w:start w:val="1"/>
      <w:numFmt w:val="bullet"/>
      <w:lvlText w:val=""/>
      <w:lvlJc w:val="left"/>
      <w:pPr>
        <w:ind w:left="5040" w:hanging="360"/>
      </w:pPr>
      <w:rPr>
        <w:rFonts w:ascii="Symbol" w:hAnsi="Symbol" w:hint="default"/>
      </w:rPr>
    </w:lvl>
    <w:lvl w:ilvl="7" w:tplc="291C9BF8" w:tentative="1">
      <w:start w:val="1"/>
      <w:numFmt w:val="bullet"/>
      <w:lvlText w:val="o"/>
      <w:lvlJc w:val="left"/>
      <w:pPr>
        <w:ind w:left="5760" w:hanging="360"/>
      </w:pPr>
      <w:rPr>
        <w:rFonts w:ascii="Courier New" w:hAnsi="Courier New" w:cs="Courier New" w:hint="default"/>
      </w:rPr>
    </w:lvl>
    <w:lvl w:ilvl="8" w:tplc="E8023E96" w:tentative="1">
      <w:start w:val="1"/>
      <w:numFmt w:val="bullet"/>
      <w:lvlText w:val=""/>
      <w:lvlJc w:val="left"/>
      <w:pPr>
        <w:ind w:left="6480" w:hanging="360"/>
      </w:pPr>
      <w:rPr>
        <w:rFonts w:ascii="Wingdings" w:hAnsi="Wingdings" w:hint="default"/>
      </w:rPr>
    </w:lvl>
  </w:abstractNum>
  <w:abstractNum w:abstractNumId="38" w15:restartNumberingAfterBreak="0">
    <w:nsid w:val="09891075"/>
    <w:multiLevelType w:val="multilevel"/>
    <w:tmpl w:val="9AC88C9C"/>
    <w:lvl w:ilvl="0">
      <w:start w:val="2"/>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2"/>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09E971C1"/>
    <w:multiLevelType w:val="hybridMultilevel"/>
    <w:tmpl w:val="7364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A522D55"/>
    <w:multiLevelType w:val="multilevel"/>
    <w:tmpl w:val="B18CD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A5F2121"/>
    <w:multiLevelType w:val="hybridMultilevel"/>
    <w:tmpl w:val="E83CE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A85424C"/>
    <w:multiLevelType w:val="hybridMultilevel"/>
    <w:tmpl w:val="3E6C3372"/>
    <w:lvl w:ilvl="0" w:tplc="3F2014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0B7125CA"/>
    <w:multiLevelType w:val="multilevel"/>
    <w:tmpl w:val="BA18C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BA32655"/>
    <w:multiLevelType w:val="hybridMultilevel"/>
    <w:tmpl w:val="9E3A93AE"/>
    <w:lvl w:ilvl="0" w:tplc="BD2A654E">
      <w:start w:val="1"/>
      <w:numFmt w:val="decimal"/>
      <w:lvlText w:val="%1."/>
      <w:lvlJc w:val="left"/>
      <w:pPr>
        <w:ind w:left="720" w:hanging="360"/>
      </w:pPr>
    </w:lvl>
    <w:lvl w:ilvl="1" w:tplc="C19AD2CC" w:tentative="1">
      <w:start w:val="1"/>
      <w:numFmt w:val="lowerLetter"/>
      <w:lvlText w:val="%2."/>
      <w:lvlJc w:val="left"/>
      <w:pPr>
        <w:ind w:left="1440" w:hanging="360"/>
      </w:pPr>
    </w:lvl>
    <w:lvl w:ilvl="2" w:tplc="84AE9C14" w:tentative="1">
      <w:start w:val="1"/>
      <w:numFmt w:val="lowerRoman"/>
      <w:lvlText w:val="%3."/>
      <w:lvlJc w:val="right"/>
      <w:pPr>
        <w:ind w:left="2160" w:hanging="180"/>
      </w:pPr>
    </w:lvl>
    <w:lvl w:ilvl="3" w:tplc="506CA874" w:tentative="1">
      <w:start w:val="1"/>
      <w:numFmt w:val="decimal"/>
      <w:lvlText w:val="%4."/>
      <w:lvlJc w:val="left"/>
      <w:pPr>
        <w:ind w:left="2880" w:hanging="360"/>
      </w:pPr>
    </w:lvl>
    <w:lvl w:ilvl="4" w:tplc="0EAC3E08" w:tentative="1">
      <w:start w:val="1"/>
      <w:numFmt w:val="lowerLetter"/>
      <w:lvlText w:val="%5."/>
      <w:lvlJc w:val="left"/>
      <w:pPr>
        <w:ind w:left="3600" w:hanging="360"/>
      </w:pPr>
    </w:lvl>
    <w:lvl w:ilvl="5" w:tplc="10E47B02" w:tentative="1">
      <w:start w:val="1"/>
      <w:numFmt w:val="lowerRoman"/>
      <w:lvlText w:val="%6."/>
      <w:lvlJc w:val="right"/>
      <w:pPr>
        <w:ind w:left="4320" w:hanging="180"/>
      </w:pPr>
    </w:lvl>
    <w:lvl w:ilvl="6" w:tplc="6F9040D0" w:tentative="1">
      <w:start w:val="1"/>
      <w:numFmt w:val="decimal"/>
      <w:lvlText w:val="%7."/>
      <w:lvlJc w:val="left"/>
      <w:pPr>
        <w:ind w:left="5040" w:hanging="360"/>
      </w:pPr>
    </w:lvl>
    <w:lvl w:ilvl="7" w:tplc="01AC9A46" w:tentative="1">
      <w:start w:val="1"/>
      <w:numFmt w:val="lowerLetter"/>
      <w:lvlText w:val="%8."/>
      <w:lvlJc w:val="left"/>
      <w:pPr>
        <w:ind w:left="5760" w:hanging="360"/>
      </w:pPr>
    </w:lvl>
    <w:lvl w:ilvl="8" w:tplc="110675A8" w:tentative="1">
      <w:start w:val="1"/>
      <w:numFmt w:val="lowerRoman"/>
      <w:lvlText w:val="%9."/>
      <w:lvlJc w:val="right"/>
      <w:pPr>
        <w:ind w:left="6480" w:hanging="180"/>
      </w:pPr>
    </w:lvl>
  </w:abstractNum>
  <w:abstractNum w:abstractNumId="45" w15:restartNumberingAfterBreak="0">
    <w:nsid w:val="0BEECF92"/>
    <w:multiLevelType w:val="singleLevel"/>
    <w:tmpl w:val="0BEECF92"/>
    <w:lvl w:ilvl="0">
      <w:start w:val="3"/>
      <w:numFmt w:val="decimal"/>
      <w:lvlText w:val="%1."/>
      <w:lvlJc w:val="left"/>
      <w:pPr>
        <w:tabs>
          <w:tab w:val="left" w:pos="312"/>
        </w:tabs>
      </w:pPr>
    </w:lvl>
  </w:abstractNum>
  <w:abstractNum w:abstractNumId="46" w15:restartNumberingAfterBreak="0">
    <w:nsid w:val="0C5C6915"/>
    <w:multiLevelType w:val="multilevel"/>
    <w:tmpl w:val="3EBAC76A"/>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0C816FE7"/>
    <w:multiLevelType w:val="multilevel"/>
    <w:tmpl w:val="8716C7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0D104C3B"/>
    <w:multiLevelType w:val="hybridMultilevel"/>
    <w:tmpl w:val="7644AC4A"/>
    <w:lvl w:ilvl="0" w:tplc="4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0D507ADF"/>
    <w:multiLevelType w:val="hybridMultilevel"/>
    <w:tmpl w:val="19EA899C"/>
    <w:lvl w:ilvl="0" w:tplc="671CFA06">
      <w:start w:val="1"/>
      <w:numFmt w:val="bullet"/>
      <w:lvlText w:val=""/>
      <w:lvlJc w:val="left"/>
      <w:pPr>
        <w:ind w:left="720" w:hanging="360"/>
      </w:pPr>
      <w:rPr>
        <w:rFonts w:ascii="Symbol" w:hAnsi="Symbol" w:hint="default"/>
      </w:rPr>
    </w:lvl>
    <w:lvl w:ilvl="1" w:tplc="64602802" w:tentative="1">
      <w:start w:val="1"/>
      <w:numFmt w:val="bullet"/>
      <w:lvlText w:val="o"/>
      <w:lvlJc w:val="left"/>
      <w:pPr>
        <w:ind w:left="1440" w:hanging="360"/>
      </w:pPr>
      <w:rPr>
        <w:rFonts w:ascii="Courier New" w:hAnsi="Courier New" w:cs="Courier New" w:hint="default"/>
      </w:rPr>
    </w:lvl>
    <w:lvl w:ilvl="2" w:tplc="32508B7E" w:tentative="1">
      <w:start w:val="1"/>
      <w:numFmt w:val="bullet"/>
      <w:lvlText w:val=""/>
      <w:lvlJc w:val="left"/>
      <w:pPr>
        <w:ind w:left="2160" w:hanging="360"/>
      </w:pPr>
      <w:rPr>
        <w:rFonts w:ascii="Wingdings" w:hAnsi="Wingdings" w:hint="default"/>
      </w:rPr>
    </w:lvl>
    <w:lvl w:ilvl="3" w:tplc="0B20080E" w:tentative="1">
      <w:start w:val="1"/>
      <w:numFmt w:val="bullet"/>
      <w:lvlText w:val=""/>
      <w:lvlJc w:val="left"/>
      <w:pPr>
        <w:ind w:left="2880" w:hanging="360"/>
      </w:pPr>
      <w:rPr>
        <w:rFonts w:ascii="Symbol" w:hAnsi="Symbol" w:hint="default"/>
      </w:rPr>
    </w:lvl>
    <w:lvl w:ilvl="4" w:tplc="5E845D2A" w:tentative="1">
      <w:start w:val="1"/>
      <w:numFmt w:val="bullet"/>
      <w:lvlText w:val="o"/>
      <w:lvlJc w:val="left"/>
      <w:pPr>
        <w:ind w:left="3600" w:hanging="360"/>
      </w:pPr>
      <w:rPr>
        <w:rFonts w:ascii="Courier New" w:hAnsi="Courier New" w:cs="Courier New" w:hint="default"/>
      </w:rPr>
    </w:lvl>
    <w:lvl w:ilvl="5" w:tplc="AD8678A6" w:tentative="1">
      <w:start w:val="1"/>
      <w:numFmt w:val="bullet"/>
      <w:lvlText w:val=""/>
      <w:lvlJc w:val="left"/>
      <w:pPr>
        <w:ind w:left="4320" w:hanging="360"/>
      </w:pPr>
      <w:rPr>
        <w:rFonts w:ascii="Wingdings" w:hAnsi="Wingdings" w:hint="default"/>
      </w:rPr>
    </w:lvl>
    <w:lvl w:ilvl="6" w:tplc="FCA87E3C" w:tentative="1">
      <w:start w:val="1"/>
      <w:numFmt w:val="bullet"/>
      <w:lvlText w:val=""/>
      <w:lvlJc w:val="left"/>
      <w:pPr>
        <w:ind w:left="5040" w:hanging="360"/>
      </w:pPr>
      <w:rPr>
        <w:rFonts w:ascii="Symbol" w:hAnsi="Symbol" w:hint="default"/>
      </w:rPr>
    </w:lvl>
    <w:lvl w:ilvl="7" w:tplc="42BE02C0" w:tentative="1">
      <w:start w:val="1"/>
      <w:numFmt w:val="bullet"/>
      <w:lvlText w:val="o"/>
      <w:lvlJc w:val="left"/>
      <w:pPr>
        <w:ind w:left="5760" w:hanging="360"/>
      </w:pPr>
      <w:rPr>
        <w:rFonts w:ascii="Courier New" w:hAnsi="Courier New" w:cs="Courier New" w:hint="default"/>
      </w:rPr>
    </w:lvl>
    <w:lvl w:ilvl="8" w:tplc="C29C63D2" w:tentative="1">
      <w:start w:val="1"/>
      <w:numFmt w:val="bullet"/>
      <w:lvlText w:val=""/>
      <w:lvlJc w:val="left"/>
      <w:pPr>
        <w:ind w:left="6480" w:hanging="360"/>
      </w:pPr>
      <w:rPr>
        <w:rFonts w:ascii="Wingdings" w:hAnsi="Wingdings" w:hint="default"/>
      </w:rPr>
    </w:lvl>
  </w:abstractNum>
  <w:abstractNum w:abstractNumId="50" w15:restartNumberingAfterBreak="0">
    <w:nsid w:val="0D675D7F"/>
    <w:multiLevelType w:val="hybridMultilevel"/>
    <w:tmpl w:val="2654E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D7D2906"/>
    <w:multiLevelType w:val="hybridMultilevel"/>
    <w:tmpl w:val="08AABBEC"/>
    <w:lvl w:ilvl="0" w:tplc="FB88507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0E1F6961"/>
    <w:multiLevelType w:val="multilevel"/>
    <w:tmpl w:val="0E1F696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0E476E86"/>
    <w:multiLevelType w:val="hybridMultilevel"/>
    <w:tmpl w:val="5E3823D0"/>
    <w:lvl w:ilvl="0" w:tplc="F952580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E5F17E1"/>
    <w:multiLevelType w:val="hybridMultilevel"/>
    <w:tmpl w:val="774E83C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0E6E40C5"/>
    <w:multiLevelType w:val="multilevel"/>
    <w:tmpl w:val="0E6E40C5"/>
    <w:lvl w:ilvl="0">
      <w:start w:val="1"/>
      <w:numFmt w:val="decimal"/>
      <w:lvlText w:val="%1."/>
      <w:lvlJc w:val="left"/>
      <w:pPr>
        <w:tabs>
          <w:tab w:val="left" w:pos="720"/>
        </w:tabs>
        <w:ind w:left="720" w:hanging="720"/>
      </w:pPr>
    </w:lvl>
    <w:lvl w:ilvl="1">
      <w:start w:val="1"/>
      <w:numFmt w:val="decimal"/>
      <w:pStyle w:val="1"/>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56" w15:restartNumberingAfterBreak="0">
    <w:nsid w:val="0E76746C"/>
    <w:multiLevelType w:val="hybridMultilevel"/>
    <w:tmpl w:val="DA6040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EB20449"/>
    <w:multiLevelType w:val="hybridMultilevel"/>
    <w:tmpl w:val="42FE9F04"/>
    <w:lvl w:ilvl="0" w:tplc="A87AD192">
      <w:start w:val="1"/>
      <w:numFmt w:val="bullet"/>
      <w:lvlText w:val=""/>
      <w:lvlJc w:val="left"/>
      <w:pPr>
        <w:ind w:left="1080" w:hanging="360"/>
      </w:pPr>
      <w:rPr>
        <w:rFonts w:ascii="Symbol" w:hAnsi="Symbol" w:hint="default"/>
      </w:rPr>
    </w:lvl>
    <w:lvl w:ilvl="1" w:tplc="7CB48296" w:tentative="1">
      <w:start w:val="1"/>
      <w:numFmt w:val="bullet"/>
      <w:lvlText w:val="o"/>
      <w:lvlJc w:val="left"/>
      <w:pPr>
        <w:ind w:left="1800" w:hanging="360"/>
      </w:pPr>
      <w:rPr>
        <w:rFonts w:ascii="Courier New" w:hAnsi="Courier New" w:cs="Courier New" w:hint="default"/>
      </w:rPr>
    </w:lvl>
    <w:lvl w:ilvl="2" w:tplc="33C4454C" w:tentative="1">
      <w:start w:val="1"/>
      <w:numFmt w:val="bullet"/>
      <w:lvlText w:val=""/>
      <w:lvlJc w:val="left"/>
      <w:pPr>
        <w:ind w:left="2520" w:hanging="360"/>
      </w:pPr>
      <w:rPr>
        <w:rFonts w:ascii="Wingdings" w:hAnsi="Wingdings" w:hint="default"/>
      </w:rPr>
    </w:lvl>
    <w:lvl w:ilvl="3" w:tplc="0C06C518" w:tentative="1">
      <w:start w:val="1"/>
      <w:numFmt w:val="bullet"/>
      <w:lvlText w:val=""/>
      <w:lvlJc w:val="left"/>
      <w:pPr>
        <w:ind w:left="3240" w:hanging="360"/>
      </w:pPr>
      <w:rPr>
        <w:rFonts w:ascii="Symbol" w:hAnsi="Symbol" w:hint="default"/>
      </w:rPr>
    </w:lvl>
    <w:lvl w:ilvl="4" w:tplc="A3E2827E" w:tentative="1">
      <w:start w:val="1"/>
      <w:numFmt w:val="bullet"/>
      <w:lvlText w:val="o"/>
      <w:lvlJc w:val="left"/>
      <w:pPr>
        <w:ind w:left="3960" w:hanging="360"/>
      </w:pPr>
      <w:rPr>
        <w:rFonts w:ascii="Courier New" w:hAnsi="Courier New" w:cs="Courier New" w:hint="default"/>
      </w:rPr>
    </w:lvl>
    <w:lvl w:ilvl="5" w:tplc="B19AE11C" w:tentative="1">
      <w:start w:val="1"/>
      <w:numFmt w:val="bullet"/>
      <w:lvlText w:val=""/>
      <w:lvlJc w:val="left"/>
      <w:pPr>
        <w:ind w:left="4680" w:hanging="360"/>
      </w:pPr>
      <w:rPr>
        <w:rFonts w:ascii="Wingdings" w:hAnsi="Wingdings" w:hint="default"/>
      </w:rPr>
    </w:lvl>
    <w:lvl w:ilvl="6" w:tplc="B15CA4D0" w:tentative="1">
      <w:start w:val="1"/>
      <w:numFmt w:val="bullet"/>
      <w:lvlText w:val=""/>
      <w:lvlJc w:val="left"/>
      <w:pPr>
        <w:ind w:left="5400" w:hanging="360"/>
      </w:pPr>
      <w:rPr>
        <w:rFonts w:ascii="Symbol" w:hAnsi="Symbol" w:hint="default"/>
      </w:rPr>
    </w:lvl>
    <w:lvl w:ilvl="7" w:tplc="4698BD56" w:tentative="1">
      <w:start w:val="1"/>
      <w:numFmt w:val="bullet"/>
      <w:lvlText w:val="o"/>
      <w:lvlJc w:val="left"/>
      <w:pPr>
        <w:ind w:left="6120" w:hanging="360"/>
      </w:pPr>
      <w:rPr>
        <w:rFonts w:ascii="Courier New" w:hAnsi="Courier New" w:cs="Courier New" w:hint="default"/>
      </w:rPr>
    </w:lvl>
    <w:lvl w:ilvl="8" w:tplc="39D05DBC" w:tentative="1">
      <w:start w:val="1"/>
      <w:numFmt w:val="bullet"/>
      <w:lvlText w:val=""/>
      <w:lvlJc w:val="left"/>
      <w:pPr>
        <w:ind w:left="6840" w:hanging="360"/>
      </w:pPr>
      <w:rPr>
        <w:rFonts w:ascii="Wingdings" w:hAnsi="Wingdings" w:hint="default"/>
      </w:rPr>
    </w:lvl>
  </w:abstractNum>
  <w:abstractNum w:abstractNumId="58" w15:restartNumberingAfterBreak="0">
    <w:nsid w:val="0F2F2BB0"/>
    <w:multiLevelType w:val="multilevel"/>
    <w:tmpl w:val="88E65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0F804E7F"/>
    <w:multiLevelType w:val="multilevel"/>
    <w:tmpl w:val="4A423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04F5419"/>
    <w:multiLevelType w:val="multilevel"/>
    <w:tmpl w:val="A89CE2E6"/>
    <w:lvl w:ilvl="0">
      <w:start w:val="1"/>
      <w:numFmt w:val="decimal"/>
      <w:lvlText w:val="%1."/>
      <w:lvlJc w:val="left"/>
      <w:pPr>
        <w:tabs>
          <w:tab w:val="num" w:pos="720"/>
        </w:tabs>
        <w:ind w:left="720" w:hanging="360"/>
      </w:pPr>
      <w:rPr>
        <w:rFonts w:ascii="Segoe UI" w:eastAsia="Calibri" w:hAnsi="Segoe UI" w:cs="Segoe U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0803C09"/>
    <w:multiLevelType w:val="hybridMultilevel"/>
    <w:tmpl w:val="EBD605F4"/>
    <w:lvl w:ilvl="0" w:tplc="4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0C172C5"/>
    <w:multiLevelType w:val="multilevel"/>
    <w:tmpl w:val="64DCCC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0C20E13"/>
    <w:multiLevelType w:val="multilevel"/>
    <w:tmpl w:val="5B88C7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11E6594"/>
    <w:multiLevelType w:val="multilevel"/>
    <w:tmpl w:val="6B0A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1523A93"/>
    <w:multiLevelType w:val="hybridMultilevel"/>
    <w:tmpl w:val="D49E2EBC"/>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66" w15:restartNumberingAfterBreak="0">
    <w:nsid w:val="11EA7305"/>
    <w:multiLevelType w:val="hybridMultilevel"/>
    <w:tmpl w:val="C9D0C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26F6EBB"/>
    <w:multiLevelType w:val="multilevel"/>
    <w:tmpl w:val="77509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28AD43F"/>
    <w:multiLevelType w:val="singleLevel"/>
    <w:tmpl w:val="128AD43F"/>
    <w:lvl w:ilvl="0">
      <w:start w:val="2"/>
      <w:numFmt w:val="decimal"/>
      <w:suff w:val="space"/>
      <w:lvlText w:val="%1."/>
      <w:lvlJc w:val="left"/>
    </w:lvl>
  </w:abstractNum>
  <w:abstractNum w:abstractNumId="69" w15:restartNumberingAfterBreak="0">
    <w:nsid w:val="13E7287E"/>
    <w:multiLevelType w:val="multilevel"/>
    <w:tmpl w:val="3620C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1407BE29"/>
    <w:multiLevelType w:val="hybridMultilevel"/>
    <w:tmpl w:val="84ECA73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14617B24"/>
    <w:multiLevelType w:val="hybridMultilevel"/>
    <w:tmpl w:val="C8D08186"/>
    <w:lvl w:ilvl="0" w:tplc="4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1535472A"/>
    <w:multiLevelType w:val="hybridMultilevel"/>
    <w:tmpl w:val="647C7B52"/>
    <w:lvl w:ilvl="0" w:tplc="EA6A7D58">
      <w:start w:val="1"/>
      <w:numFmt w:val="lowerRoman"/>
      <w:lvlText w:val="%1."/>
      <w:lvlJc w:val="right"/>
      <w:pPr>
        <w:ind w:left="720" w:hanging="360"/>
      </w:pPr>
      <w:rPr>
        <w:rFonts w:hint="default"/>
      </w:rPr>
    </w:lvl>
    <w:lvl w:ilvl="1" w:tplc="21C881F6" w:tentative="1">
      <w:start w:val="1"/>
      <w:numFmt w:val="bullet"/>
      <w:lvlText w:val="o"/>
      <w:lvlJc w:val="left"/>
      <w:pPr>
        <w:ind w:left="1440" w:hanging="360"/>
      </w:pPr>
      <w:rPr>
        <w:rFonts w:ascii="Courier New" w:hAnsi="Courier New" w:cs="Courier New" w:hint="default"/>
      </w:rPr>
    </w:lvl>
    <w:lvl w:ilvl="2" w:tplc="1B864AA6" w:tentative="1">
      <w:start w:val="1"/>
      <w:numFmt w:val="bullet"/>
      <w:lvlText w:val=""/>
      <w:lvlJc w:val="left"/>
      <w:pPr>
        <w:ind w:left="2160" w:hanging="360"/>
      </w:pPr>
      <w:rPr>
        <w:rFonts w:ascii="Wingdings" w:hAnsi="Wingdings" w:hint="default"/>
      </w:rPr>
    </w:lvl>
    <w:lvl w:ilvl="3" w:tplc="0FAED832" w:tentative="1">
      <w:start w:val="1"/>
      <w:numFmt w:val="bullet"/>
      <w:lvlText w:val=""/>
      <w:lvlJc w:val="left"/>
      <w:pPr>
        <w:ind w:left="2880" w:hanging="360"/>
      </w:pPr>
      <w:rPr>
        <w:rFonts w:ascii="Symbol" w:hAnsi="Symbol" w:hint="default"/>
      </w:rPr>
    </w:lvl>
    <w:lvl w:ilvl="4" w:tplc="B22AA9D0" w:tentative="1">
      <w:start w:val="1"/>
      <w:numFmt w:val="bullet"/>
      <w:lvlText w:val="o"/>
      <w:lvlJc w:val="left"/>
      <w:pPr>
        <w:ind w:left="3600" w:hanging="360"/>
      </w:pPr>
      <w:rPr>
        <w:rFonts w:ascii="Courier New" w:hAnsi="Courier New" w:cs="Courier New" w:hint="default"/>
      </w:rPr>
    </w:lvl>
    <w:lvl w:ilvl="5" w:tplc="218E9626" w:tentative="1">
      <w:start w:val="1"/>
      <w:numFmt w:val="bullet"/>
      <w:lvlText w:val=""/>
      <w:lvlJc w:val="left"/>
      <w:pPr>
        <w:ind w:left="4320" w:hanging="360"/>
      </w:pPr>
      <w:rPr>
        <w:rFonts w:ascii="Wingdings" w:hAnsi="Wingdings" w:hint="default"/>
      </w:rPr>
    </w:lvl>
    <w:lvl w:ilvl="6" w:tplc="BD6689AA" w:tentative="1">
      <w:start w:val="1"/>
      <w:numFmt w:val="bullet"/>
      <w:lvlText w:val=""/>
      <w:lvlJc w:val="left"/>
      <w:pPr>
        <w:ind w:left="5040" w:hanging="360"/>
      </w:pPr>
      <w:rPr>
        <w:rFonts w:ascii="Symbol" w:hAnsi="Symbol" w:hint="default"/>
      </w:rPr>
    </w:lvl>
    <w:lvl w:ilvl="7" w:tplc="CAFCE408" w:tentative="1">
      <w:start w:val="1"/>
      <w:numFmt w:val="bullet"/>
      <w:lvlText w:val="o"/>
      <w:lvlJc w:val="left"/>
      <w:pPr>
        <w:ind w:left="5760" w:hanging="360"/>
      </w:pPr>
      <w:rPr>
        <w:rFonts w:ascii="Courier New" w:hAnsi="Courier New" w:cs="Courier New" w:hint="default"/>
      </w:rPr>
    </w:lvl>
    <w:lvl w:ilvl="8" w:tplc="8D5C8D4A" w:tentative="1">
      <w:start w:val="1"/>
      <w:numFmt w:val="bullet"/>
      <w:lvlText w:val=""/>
      <w:lvlJc w:val="left"/>
      <w:pPr>
        <w:ind w:left="6480" w:hanging="360"/>
      </w:pPr>
      <w:rPr>
        <w:rFonts w:ascii="Wingdings" w:hAnsi="Wingdings" w:hint="default"/>
      </w:rPr>
    </w:lvl>
  </w:abstractNum>
  <w:abstractNum w:abstractNumId="73" w15:restartNumberingAfterBreak="0">
    <w:nsid w:val="15476901"/>
    <w:multiLevelType w:val="multilevel"/>
    <w:tmpl w:val="3A3A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5C67C4E"/>
    <w:multiLevelType w:val="hybridMultilevel"/>
    <w:tmpl w:val="114AC8F6"/>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5" w15:restartNumberingAfterBreak="0">
    <w:nsid w:val="15E11ADB"/>
    <w:multiLevelType w:val="multilevel"/>
    <w:tmpl w:val="0FB856AE"/>
    <w:lvl w:ilvl="0">
      <w:start w:val="1"/>
      <w:numFmt w:val="bullet"/>
      <w:lvlText w:val=""/>
      <w:lvlJc w:val="left"/>
      <w:pPr>
        <w:tabs>
          <w:tab w:val="num" w:pos="720"/>
        </w:tabs>
        <w:ind w:left="720" w:hanging="360"/>
      </w:pPr>
      <w:rPr>
        <w:rFonts w:ascii="Symbol" w:hAnsi="Symbol" w:hint="default"/>
      </w:rPr>
    </w:lvl>
    <w:lvl w:ilvl="1">
      <w:numFmt w:val="bullet"/>
      <w:lvlText w:val="•"/>
      <w:lvlJc w:val="left"/>
      <w:pPr>
        <w:ind w:left="1440" w:hanging="360"/>
      </w:pPr>
      <w:rPr>
        <w:rFonts w:ascii="Calibri" w:eastAsia="Times New Roman"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5F475FA"/>
    <w:multiLevelType w:val="multilevel"/>
    <w:tmpl w:val="8348E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5F919F6"/>
    <w:multiLevelType w:val="hybridMultilevel"/>
    <w:tmpl w:val="CC6CDC38"/>
    <w:lvl w:ilvl="0" w:tplc="3D80EA06">
      <w:start w:val="1"/>
      <w:numFmt w:val="decimal"/>
      <w:lvlText w:val="%1."/>
      <w:lvlJc w:val="left"/>
      <w:pPr>
        <w:ind w:left="720" w:hanging="360"/>
      </w:pPr>
      <w:rPr>
        <w:rFonts w:hint="default"/>
      </w:rPr>
    </w:lvl>
    <w:lvl w:ilvl="1" w:tplc="ACFA7F78" w:tentative="1">
      <w:start w:val="1"/>
      <w:numFmt w:val="lowerLetter"/>
      <w:lvlText w:val="%2."/>
      <w:lvlJc w:val="left"/>
      <w:pPr>
        <w:ind w:left="1440" w:hanging="360"/>
      </w:pPr>
    </w:lvl>
    <w:lvl w:ilvl="2" w:tplc="B38C7D3A" w:tentative="1">
      <w:start w:val="1"/>
      <w:numFmt w:val="lowerRoman"/>
      <w:lvlText w:val="%3."/>
      <w:lvlJc w:val="right"/>
      <w:pPr>
        <w:ind w:left="2160" w:hanging="180"/>
      </w:pPr>
    </w:lvl>
    <w:lvl w:ilvl="3" w:tplc="B94E80F4" w:tentative="1">
      <w:start w:val="1"/>
      <w:numFmt w:val="decimal"/>
      <w:lvlText w:val="%4."/>
      <w:lvlJc w:val="left"/>
      <w:pPr>
        <w:ind w:left="2880" w:hanging="360"/>
      </w:pPr>
    </w:lvl>
    <w:lvl w:ilvl="4" w:tplc="9252C986" w:tentative="1">
      <w:start w:val="1"/>
      <w:numFmt w:val="lowerLetter"/>
      <w:lvlText w:val="%5."/>
      <w:lvlJc w:val="left"/>
      <w:pPr>
        <w:ind w:left="3600" w:hanging="360"/>
      </w:pPr>
    </w:lvl>
    <w:lvl w:ilvl="5" w:tplc="9E9E8B48" w:tentative="1">
      <w:start w:val="1"/>
      <w:numFmt w:val="lowerRoman"/>
      <w:lvlText w:val="%6."/>
      <w:lvlJc w:val="right"/>
      <w:pPr>
        <w:ind w:left="4320" w:hanging="180"/>
      </w:pPr>
    </w:lvl>
    <w:lvl w:ilvl="6" w:tplc="CB26F58A" w:tentative="1">
      <w:start w:val="1"/>
      <w:numFmt w:val="decimal"/>
      <w:lvlText w:val="%7."/>
      <w:lvlJc w:val="left"/>
      <w:pPr>
        <w:ind w:left="5040" w:hanging="360"/>
      </w:pPr>
    </w:lvl>
    <w:lvl w:ilvl="7" w:tplc="3D7C52DE" w:tentative="1">
      <w:start w:val="1"/>
      <w:numFmt w:val="lowerLetter"/>
      <w:lvlText w:val="%8."/>
      <w:lvlJc w:val="left"/>
      <w:pPr>
        <w:ind w:left="5760" w:hanging="360"/>
      </w:pPr>
    </w:lvl>
    <w:lvl w:ilvl="8" w:tplc="92880C98" w:tentative="1">
      <w:start w:val="1"/>
      <w:numFmt w:val="lowerRoman"/>
      <w:lvlText w:val="%9."/>
      <w:lvlJc w:val="right"/>
      <w:pPr>
        <w:ind w:left="6480" w:hanging="180"/>
      </w:pPr>
    </w:lvl>
  </w:abstractNum>
  <w:abstractNum w:abstractNumId="78" w15:restartNumberingAfterBreak="0">
    <w:nsid w:val="15FE5FFA"/>
    <w:multiLevelType w:val="multilevel"/>
    <w:tmpl w:val="64DCCC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16B5C55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16EB5FF0"/>
    <w:multiLevelType w:val="multilevel"/>
    <w:tmpl w:val="6726A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6EC00F3"/>
    <w:multiLevelType w:val="multilevel"/>
    <w:tmpl w:val="240426E0"/>
    <w:lvl w:ilvl="0">
      <w:start w:val="1"/>
      <w:numFmt w:val="decimal"/>
      <w:lvlText w:val="%1"/>
      <w:lvlJc w:val="left"/>
      <w:pPr>
        <w:ind w:left="3933" w:hanging="432"/>
        <w:jc w:val="right"/>
      </w:pPr>
      <w:rPr>
        <w:rFonts w:ascii="Times New Roman" w:eastAsia="Times New Roman" w:hAnsi="Times New Roman" w:cs="Times New Roman" w:hint="default"/>
        <w:b/>
        <w:bCs/>
        <w:i w:val="0"/>
        <w:iCs w:val="0"/>
        <w:w w:val="99"/>
        <w:sz w:val="28"/>
        <w:szCs w:val="28"/>
        <w:lang w:val="en-US" w:eastAsia="en-US" w:bidi="ar-SA"/>
      </w:rPr>
    </w:lvl>
    <w:lvl w:ilvl="1">
      <w:start w:val="1"/>
      <w:numFmt w:val="decimal"/>
      <w:lvlText w:val="%1.%2"/>
      <w:lvlJc w:val="left"/>
      <w:pPr>
        <w:ind w:left="1267" w:hanging="367"/>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1.%2.%3"/>
      <w:lvlJc w:val="left"/>
      <w:pPr>
        <w:ind w:left="2070" w:hanging="720"/>
      </w:pPr>
      <w:rPr>
        <w:rFonts w:ascii="Times New Roman" w:eastAsia="Times New Roman" w:hAnsi="Times New Roman" w:cs="Times New Roman" w:hint="default"/>
        <w:b w:val="0"/>
        <w:bCs w:val="0"/>
        <w:i/>
        <w:iCs/>
        <w:w w:val="100"/>
        <w:sz w:val="24"/>
        <w:szCs w:val="24"/>
        <w:lang w:val="en-US" w:eastAsia="en-US" w:bidi="ar-SA"/>
      </w:rPr>
    </w:lvl>
    <w:lvl w:ilvl="3">
      <w:numFmt w:val="bullet"/>
      <w:lvlText w:val="•"/>
      <w:lvlJc w:val="left"/>
      <w:pPr>
        <w:ind w:left="4693" w:hanging="720"/>
      </w:pPr>
      <w:rPr>
        <w:rFonts w:hint="default"/>
        <w:lang w:val="en-US" w:eastAsia="en-US" w:bidi="ar-SA"/>
      </w:rPr>
    </w:lvl>
    <w:lvl w:ilvl="4">
      <w:numFmt w:val="bullet"/>
      <w:lvlText w:val="•"/>
      <w:lvlJc w:val="left"/>
      <w:pPr>
        <w:ind w:left="5446" w:hanging="720"/>
      </w:pPr>
      <w:rPr>
        <w:rFonts w:hint="default"/>
        <w:lang w:val="en-US" w:eastAsia="en-US" w:bidi="ar-SA"/>
      </w:rPr>
    </w:lvl>
    <w:lvl w:ilvl="5">
      <w:numFmt w:val="bullet"/>
      <w:lvlText w:val="•"/>
      <w:lvlJc w:val="left"/>
      <w:pPr>
        <w:ind w:left="6199" w:hanging="720"/>
      </w:pPr>
      <w:rPr>
        <w:rFonts w:hint="default"/>
        <w:lang w:val="en-US" w:eastAsia="en-US" w:bidi="ar-SA"/>
      </w:rPr>
    </w:lvl>
    <w:lvl w:ilvl="6">
      <w:numFmt w:val="bullet"/>
      <w:lvlText w:val="•"/>
      <w:lvlJc w:val="left"/>
      <w:pPr>
        <w:ind w:left="6952" w:hanging="720"/>
      </w:pPr>
      <w:rPr>
        <w:rFonts w:hint="default"/>
        <w:lang w:val="en-US" w:eastAsia="en-US" w:bidi="ar-SA"/>
      </w:rPr>
    </w:lvl>
    <w:lvl w:ilvl="7">
      <w:numFmt w:val="bullet"/>
      <w:lvlText w:val="•"/>
      <w:lvlJc w:val="left"/>
      <w:pPr>
        <w:ind w:left="7705" w:hanging="720"/>
      </w:pPr>
      <w:rPr>
        <w:rFonts w:hint="default"/>
        <w:lang w:val="en-US" w:eastAsia="en-US" w:bidi="ar-SA"/>
      </w:rPr>
    </w:lvl>
    <w:lvl w:ilvl="8">
      <w:numFmt w:val="bullet"/>
      <w:lvlText w:val="•"/>
      <w:lvlJc w:val="left"/>
      <w:pPr>
        <w:ind w:left="8458" w:hanging="720"/>
      </w:pPr>
      <w:rPr>
        <w:rFonts w:hint="default"/>
        <w:lang w:val="en-US" w:eastAsia="en-US" w:bidi="ar-SA"/>
      </w:rPr>
    </w:lvl>
  </w:abstractNum>
  <w:abstractNum w:abstractNumId="82" w15:restartNumberingAfterBreak="0">
    <w:nsid w:val="174D0CD9"/>
    <w:multiLevelType w:val="multilevel"/>
    <w:tmpl w:val="459CF7DC"/>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177352B5"/>
    <w:multiLevelType w:val="multilevel"/>
    <w:tmpl w:val="7204715C"/>
    <w:lvl w:ilvl="0">
      <w:start w:val="1"/>
      <w:numFmt w:val="decimal"/>
      <w:lvlText w:val="%1."/>
      <w:lvlJc w:val="left"/>
      <w:pPr>
        <w:ind w:left="630" w:hanging="360"/>
      </w:pPr>
      <w:rPr>
        <w:rFonts w:hint="default"/>
      </w:rPr>
    </w:lvl>
    <w:lvl w:ilvl="1">
      <w:start w:val="1"/>
      <w:numFmt w:val="decimal"/>
      <w:isLgl/>
      <w:lvlText w:val="%1.%2"/>
      <w:lvlJc w:val="left"/>
      <w:pPr>
        <w:ind w:left="810" w:hanging="36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17AB4226"/>
    <w:multiLevelType w:val="multilevel"/>
    <w:tmpl w:val="D0AABA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180F1EEA"/>
    <w:multiLevelType w:val="hybridMultilevel"/>
    <w:tmpl w:val="4FEA5AD2"/>
    <w:lvl w:ilvl="0" w:tplc="3CB07F20">
      <w:numFmt w:val="bullet"/>
      <w:lvlText w:val=""/>
      <w:lvlJc w:val="left"/>
      <w:pPr>
        <w:ind w:left="420" w:hanging="360"/>
      </w:pPr>
      <w:rPr>
        <w:rFonts w:ascii="Wingdings" w:eastAsiaTheme="minorHAnsi" w:hAnsi="Wingdings" w:cstheme="maj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6" w15:restartNumberingAfterBreak="0">
    <w:nsid w:val="18151824"/>
    <w:multiLevelType w:val="hybridMultilevel"/>
    <w:tmpl w:val="8E1A26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18756968"/>
    <w:multiLevelType w:val="hybridMultilevel"/>
    <w:tmpl w:val="418C255A"/>
    <w:lvl w:ilvl="0" w:tplc="F340A8D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18AF3A12"/>
    <w:multiLevelType w:val="multilevel"/>
    <w:tmpl w:val="F2321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18B468F5"/>
    <w:multiLevelType w:val="hybridMultilevel"/>
    <w:tmpl w:val="73585586"/>
    <w:lvl w:ilvl="0" w:tplc="1CEAC3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95D4A42"/>
    <w:multiLevelType w:val="hybridMultilevel"/>
    <w:tmpl w:val="5E567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9A1783F"/>
    <w:multiLevelType w:val="multilevel"/>
    <w:tmpl w:val="B5E2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B722DBE"/>
    <w:multiLevelType w:val="multilevel"/>
    <w:tmpl w:val="1B722DB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1BB22173"/>
    <w:multiLevelType w:val="multilevel"/>
    <w:tmpl w:val="E6CA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C4D7ECD"/>
    <w:multiLevelType w:val="multilevel"/>
    <w:tmpl w:val="986A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C5B165E"/>
    <w:multiLevelType w:val="hybridMultilevel"/>
    <w:tmpl w:val="538A358A"/>
    <w:lvl w:ilvl="0" w:tplc="44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1C6A5288"/>
    <w:multiLevelType w:val="hybridMultilevel"/>
    <w:tmpl w:val="8A4ADC30"/>
    <w:lvl w:ilvl="0" w:tplc="9404EC78">
      <w:start w:val="1"/>
      <w:numFmt w:val="decimal"/>
      <w:lvlText w:val="%1."/>
      <w:lvlJc w:val="left"/>
      <w:pPr>
        <w:ind w:left="720" w:hanging="360"/>
      </w:pPr>
    </w:lvl>
    <w:lvl w:ilvl="1" w:tplc="77380C6A" w:tentative="1">
      <w:start w:val="1"/>
      <w:numFmt w:val="lowerLetter"/>
      <w:lvlText w:val="%2."/>
      <w:lvlJc w:val="left"/>
      <w:pPr>
        <w:ind w:left="1440" w:hanging="360"/>
      </w:pPr>
    </w:lvl>
    <w:lvl w:ilvl="2" w:tplc="78E2F24A" w:tentative="1">
      <w:start w:val="1"/>
      <w:numFmt w:val="lowerRoman"/>
      <w:lvlText w:val="%3."/>
      <w:lvlJc w:val="right"/>
      <w:pPr>
        <w:ind w:left="2160" w:hanging="180"/>
      </w:pPr>
    </w:lvl>
    <w:lvl w:ilvl="3" w:tplc="86E6B4BA" w:tentative="1">
      <w:start w:val="1"/>
      <w:numFmt w:val="decimal"/>
      <w:lvlText w:val="%4."/>
      <w:lvlJc w:val="left"/>
      <w:pPr>
        <w:ind w:left="2880" w:hanging="360"/>
      </w:pPr>
    </w:lvl>
    <w:lvl w:ilvl="4" w:tplc="DBB6719C" w:tentative="1">
      <w:start w:val="1"/>
      <w:numFmt w:val="lowerLetter"/>
      <w:lvlText w:val="%5."/>
      <w:lvlJc w:val="left"/>
      <w:pPr>
        <w:ind w:left="3600" w:hanging="360"/>
      </w:pPr>
    </w:lvl>
    <w:lvl w:ilvl="5" w:tplc="10A6349A" w:tentative="1">
      <w:start w:val="1"/>
      <w:numFmt w:val="lowerRoman"/>
      <w:lvlText w:val="%6."/>
      <w:lvlJc w:val="right"/>
      <w:pPr>
        <w:ind w:left="4320" w:hanging="180"/>
      </w:pPr>
    </w:lvl>
    <w:lvl w:ilvl="6" w:tplc="5E9C0274" w:tentative="1">
      <w:start w:val="1"/>
      <w:numFmt w:val="decimal"/>
      <w:lvlText w:val="%7."/>
      <w:lvlJc w:val="left"/>
      <w:pPr>
        <w:ind w:left="5040" w:hanging="360"/>
      </w:pPr>
    </w:lvl>
    <w:lvl w:ilvl="7" w:tplc="661227B4" w:tentative="1">
      <w:start w:val="1"/>
      <w:numFmt w:val="lowerLetter"/>
      <w:lvlText w:val="%8."/>
      <w:lvlJc w:val="left"/>
      <w:pPr>
        <w:ind w:left="5760" w:hanging="360"/>
      </w:pPr>
    </w:lvl>
    <w:lvl w:ilvl="8" w:tplc="8EE42538" w:tentative="1">
      <w:start w:val="1"/>
      <w:numFmt w:val="lowerRoman"/>
      <w:lvlText w:val="%9."/>
      <w:lvlJc w:val="right"/>
      <w:pPr>
        <w:ind w:left="6480" w:hanging="180"/>
      </w:pPr>
    </w:lvl>
  </w:abstractNum>
  <w:abstractNum w:abstractNumId="97" w15:restartNumberingAfterBreak="0">
    <w:nsid w:val="1CC321D2"/>
    <w:multiLevelType w:val="multilevel"/>
    <w:tmpl w:val="5A46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CE24159"/>
    <w:multiLevelType w:val="hybridMultilevel"/>
    <w:tmpl w:val="5C8CC898"/>
    <w:lvl w:ilvl="0" w:tplc="C97C13A8">
      <w:start w:val="1"/>
      <w:numFmt w:val="bullet"/>
      <w:lvlText w:val=""/>
      <w:lvlJc w:val="left"/>
      <w:pPr>
        <w:ind w:left="720" w:hanging="360"/>
      </w:pPr>
      <w:rPr>
        <w:rFonts w:ascii="Symbol" w:hAnsi="Symbol" w:hint="default"/>
      </w:rPr>
    </w:lvl>
    <w:lvl w:ilvl="1" w:tplc="97449284" w:tentative="1">
      <w:start w:val="1"/>
      <w:numFmt w:val="bullet"/>
      <w:lvlText w:val="o"/>
      <w:lvlJc w:val="left"/>
      <w:pPr>
        <w:ind w:left="1440" w:hanging="360"/>
      </w:pPr>
      <w:rPr>
        <w:rFonts w:ascii="Courier New" w:hAnsi="Courier New" w:cs="Courier New" w:hint="default"/>
      </w:rPr>
    </w:lvl>
    <w:lvl w:ilvl="2" w:tplc="61D8FE78" w:tentative="1">
      <w:start w:val="1"/>
      <w:numFmt w:val="bullet"/>
      <w:lvlText w:val=""/>
      <w:lvlJc w:val="left"/>
      <w:pPr>
        <w:ind w:left="2160" w:hanging="360"/>
      </w:pPr>
      <w:rPr>
        <w:rFonts w:ascii="Wingdings" w:hAnsi="Wingdings" w:hint="default"/>
      </w:rPr>
    </w:lvl>
    <w:lvl w:ilvl="3" w:tplc="F37A3B0A" w:tentative="1">
      <w:start w:val="1"/>
      <w:numFmt w:val="bullet"/>
      <w:lvlText w:val=""/>
      <w:lvlJc w:val="left"/>
      <w:pPr>
        <w:ind w:left="2880" w:hanging="360"/>
      </w:pPr>
      <w:rPr>
        <w:rFonts w:ascii="Symbol" w:hAnsi="Symbol" w:hint="default"/>
      </w:rPr>
    </w:lvl>
    <w:lvl w:ilvl="4" w:tplc="6B865C80" w:tentative="1">
      <w:start w:val="1"/>
      <w:numFmt w:val="bullet"/>
      <w:lvlText w:val="o"/>
      <w:lvlJc w:val="left"/>
      <w:pPr>
        <w:ind w:left="3600" w:hanging="360"/>
      </w:pPr>
      <w:rPr>
        <w:rFonts w:ascii="Courier New" w:hAnsi="Courier New" w:cs="Courier New" w:hint="default"/>
      </w:rPr>
    </w:lvl>
    <w:lvl w:ilvl="5" w:tplc="2ED4FA7E" w:tentative="1">
      <w:start w:val="1"/>
      <w:numFmt w:val="bullet"/>
      <w:lvlText w:val=""/>
      <w:lvlJc w:val="left"/>
      <w:pPr>
        <w:ind w:left="4320" w:hanging="360"/>
      </w:pPr>
      <w:rPr>
        <w:rFonts w:ascii="Wingdings" w:hAnsi="Wingdings" w:hint="default"/>
      </w:rPr>
    </w:lvl>
    <w:lvl w:ilvl="6" w:tplc="5B9E3618" w:tentative="1">
      <w:start w:val="1"/>
      <w:numFmt w:val="bullet"/>
      <w:lvlText w:val=""/>
      <w:lvlJc w:val="left"/>
      <w:pPr>
        <w:ind w:left="5040" w:hanging="360"/>
      </w:pPr>
      <w:rPr>
        <w:rFonts w:ascii="Symbol" w:hAnsi="Symbol" w:hint="default"/>
      </w:rPr>
    </w:lvl>
    <w:lvl w:ilvl="7" w:tplc="AC3E3FB8" w:tentative="1">
      <w:start w:val="1"/>
      <w:numFmt w:val="bullet"/>
      <w:lvlText w:val="o"/>
      <w:lvlJc w:val="left"/>
      <w:pPr>
        <w:ind w:left="5760" w:hanging="360"/>
      </w:pPr>
      <w:rPr>
        <w:rFonts w:ascii="Courier New" w:hAnsi="Courier New" w:cs="Courier New" w:hint="default"/>
      </w:rPr>
    </w:lvl>
    <w:lvl w:ilvl="8" w:tplc="0038C9F2" w:tentative="1">
      <w:start w:val="1"/>
      <w:numFmt w:val="bullet"/>
      <w:lvlText w:val=""/>
      <w:lvlJc w:val="left"/>
      <w:pPr>
        <w:ind w:left="6480" w:hanging="360"/>
      </w:pPr>
      <w:rPr>
        <w:rFonts w:ascii="Wingdings" w:hAnsi="Wingdings" w:hint="default"/>
      </w:rPr>
    </w:lvl>
  </w:abstractNum>
  <w:abstractNum w:abstractNumId="99" w15:restartNumberingAfterBreak="0">
    <w:nsid w:val="1D5A4575"/>
    <w:multiLevelType w:val="hybridMultilevel"/>
    <w:tmpl w:val="CE42743C"/>
    <w:lvl w:ilvl="0" w:tplc="FEEEA886">
      <w:start w:val="1"/>
      <w:numFmt w:val="decimal"/>
      <w:lvlText w:val="%1."/>
      <w:lvlJc w:val="left"/>
      <w:pPr>
        <w:ind w:left="630" w:hanging="360"/>
      </w:pPr>
      <w:rPr>
        <w:rFonts w:hint="default"/>
      </w:rPr>
    </w:lvl>
    <w:lvl w:ilvl="1" w:tplc="D1900A32" w:tentative="1">
      <w:start w:val="1"/>
      <w:numFmt w:val="lowerLetter"/>
      <w:lvlText w:val="%2."/>
      <w:lvlJc w:val="left"/>
      <w:pPr>
        <w:ind w:left="1350" w:hanging="360"/>
      </w:pPr>
    </w:lvl>
    <w:lvl w:ilvl="2" w:tplc="59FEFBD8" w:tentative="1">
      <w:start w:val="1"/>
      <w:numFmt w:val="lowerRoman"/>
      <w:lvlText w:val="%3."/>
      <w:lvlJc w:val="right"/>
      <w:pPr>
        <w:ind w:left="2070" w:hanging="180"/>
      </w:pPr>
    </w:lvl>
    <w:lvl w:ilvl="3" w:tplc="419C4BBC" w:tentative="1">
      <w:start w:val="1"/>
      <w:numFmt w:val="decimal"/>
      <w:lvlText w:val="%4."/>
      <w:lvlJc w:val="left"/>
      <w:pPr>
        <w:ind w:left="2790" w:hanging="360"/>
      </w:pPr>
    </w:lvl>
    <w:lvl w:ilvl="4" w:tplc="E1F632E0" w:tentative="1">
      <w:start w:val="1"/>
      <w:numFmt w:val="lowerLetter"/>
      <w:lvlText w:val="%5."/>
      <w:lvlJc w:val="left"/>
      <w:pPr>
        <w:ind w:left="3510" w:hanging="360"/>
      </w:pPr>
    </w:lvl>
    <w:lvl w:ilvl="5" w:tplc="499C41A2" w:tentative="1">
      <w:start w:val="1"/>
      <w:numFmt w:val="lowerRoman"/>
      <w:lvlText w:val="%6."/>
      <w:lvlJc w:val="right"/>
      <w:pPr>
        <w:ind w:left="4230" w:hanging="180"/>
      </w:pPr>
    </w:lvl>
    <w:lvl w:ilvl="6" w:tplc="57F0FBB2" w:tentative="1">
      <w:start w:val="1"/>
      <w:numFmt w:val="decimal"/>
      <w:lvlText w:val="%7."/>
      <w:lvlJc w:val="left"/>
      <w:pPr>
        <w:ind w:left="4950" w:hanging="360"/>
      </w:pPr>
    </w:lvl>
    <w:lvl w:ilvl="7" w:tplc="6AB892DE" w:tentative="1">
      <w:start w:val="1"/>
      <w:numFmt w:val="lowerLetter"/>
      <w:lvlText w:val="%8."/>
      <w:lvlJc w:val="left"/>
      <w:pPr>
        <w:ind w:left="5670" w:hanging="360"/>
      </w:pPr>
    </w:lvl>
    <w:lvl w:ilvl="8" w:tplc="E96EE3D6" w:tentative="1">
      <w:start w:val="1"/>
      <w:numFmt w:val="lowerRoman"/>
      <w:lvlText w:val="%9."/>
      <w:lvlJc w:val="right"/>
      <w:pPr>
        <w:ind w:left="6390" w:hanging="180"/>
      </w:pPr>
    </w:lvl>
  </w:abstractNum>
  <w:abstractNum w:abstractNumId="100" w15:restartNumberingAfterBreak="0">
    <w:nsid w:val="1E0321DF"/>
    <w:multiLevelType w:val="multilevel"/>
    <w:tmpl w:val="331C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E0C6F5D"/>
    <w:multiLevelType w:val="hybridMultilevel"/>
    <w:tmpl w:val="C18EF4EA"/>
    <w:lvl w:ilvl="0" w:tplc="E4E82BC6">
      <w:start w:val="1"/>
      <w:numFmt w:val="decimal"/>
      <w:lvlRestart w:val="0"/>
      <w:pStyle w:val="MDPI71footnotes"/>
      <w:lvlText w:val="%1."/>
      <w:lvlJc w:val="left"/>
      <w:pPr>
        <w:ind w:left="425" w:hanging="425"/>
      </w:pPr>
      <w:rPr>
        <w:rFonts w:hint="default"/>
        <w:vertAlign w:val="superscrip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02" w15:restartNumberingAfterBreak="0">
    <w:nsid w:val="1E281757"/>
    <w:multiLevelType w:val="multilevel"/>
    <w:tmpl w:val="4DC84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EC06B26"/>
    <w:multiLevelType w:val="hybridMultilevel"/>
    <w:tmpl w:val="3410A09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1F397F84"/>
    <w:multiLevelType w:val="multilevel"/>
    <w:tmpl w:val="1F397F84"/>
    <w:lvl w:ilvl="0">
      <w:start w:val="1"/>
      <w:numFmt w:val="bullet"/>
      <w:pStyle w:val="bulletitem"/>
      <w:lvlText w:val=""/>
      <w:lvlJc w:val="left"/>
      <w:pPr>
        <w:tabs>
          <w:tab w:val="left" w:pos="227"/>
        </w:tabs>
        <w:ind w:left="227" w:hanging="227"/>
      </w:pPr>
      <w:rPr>
        <w:rFonts w:ascii="Symbol" w:hAnsi="Symbol" w:hint="default"/>
      </w:rPr>
    </w:lvl>
    <w:lvl w:ilvl="1">
      <w:start w:val="1"/>
      <w:numFmt w:val="bullet"/>
      <w:lvlText w:val="─"/>
      <w:lvlJc w:val="left"/>
      <w:pPr>
        <w:tabs>
          <w:tab w:val="left" w:pos="454"/>
        </w:tabs>
        <w:ind w:left="454" w:hanging="227"/>
      </w:pPr>
      <w:rPr>
        <w:rFonts w:ascii="Times New Roman" w:hAnsi="Times New Roman" w:cs="Times New Roman" w:hint="default"/>
      </w:rPr>
    </w:lvl>
    <w:lvl w:ilvl="2">
      <w:start w:val="1"/>
      <w:numFmt w:val="bullet"/>
      <w:lvlText w:val="o"/>
      <w:lvlJc w:val="left"/>
      <w:pPr>
        <w:tabs>
          <w:tab w:val="left" w:pos="680"/>
        </w:tabs>
        <w:ind w:left="680" w:hanging="226"/>
      </w:pPr>
      <w:rPr>
        <w:rFonts w:ascii="Courier New" w:hAnsi="Courier New" w:hint="default"/>
      </w:rPr>
    </w:lvl>
    <w:lvl w:ilvl="3">
      <w:start w:val="1"/>
      <w:numFmt w:val="bullet"/>
      <w:lvlText w:val=""/>
      <w:lvlJc w:val="left"/>
      <w:pPr>
        <w:tabs>
          <w:tab w:val="left" w:pos="907"/>
        </w:tabs>
        <w:ind w:left="907" w:hanging="227"/>
      </w:pPr>
      <w:rPr>
        <w:rFonts w:ascii="Wingdings" w:hAnsi="Wingdings" w:hint="default"/>
      </w:rPr>
    </w:lvl>
    <w:lvl w:ilvl="4">
      <w:start w:val="1"/>
      <w:numFmt w:val="bullet"/>
      <w:lvlText w:val="o"/>
      <w:lvlJc w:val="left"/>
      <w:pPr>
        <w:tabs>
          <w:tab w:val="left" w:pos="1134"/>
        </w:tabs>
        <w:ind w:left="1134" w:hanging="227"/>
      </w:pPr>
      <w:rPr>
        <w:rFonts w:ascii="Courier New" w:hAnsi="Courier New" w:hint="default"/>
      </w:rPr>
    </w:lvl>
    <w:lvl w:ilvl="5">
      <w:start w:val="1"/>
      <w:numFmt w:val="bullet"/>
      <w:lvlText w:val=""/>
      <w:lvlJc w:val="left"/>
      <w:pPr>
        <w:tabs>
          <w:tab w:val="left" w:pos="1361"/>
        </w:tabs>
        <w:ind w:left="1361" w:hanging="227"/>
      </w:pPr>
      <w:rPr>
        <w:rFonts w:ascii="Wingdings" w:hAnsi="Wingdings" w:hint="default"/>
      </w:rPr>
    </w:lvl>
    <w:lvl w:ilvl="6">
      <w:start w:val="1"/>
      <w:numFmt w:val="bullet"/>
      <w:lvlText w:val=""/>
      <w:lvlJc w:val="left"/>
      <w:pPr>
        <w:tabs>
          <w:tab w:val="left" w:pos="1588"/>
        </w:tabs>
        <w:ind w:left="1588" w:hanging="227"/>
      </w:pPr>
      <w:rPr>
        <w:rFonts w:ascii="Symbol" w:hAnsi="Symbol" w:hint="default"/>
      </w:rPr>
    </w:lvl>
    <w:lvl w:ilvl="7">
      <w:start w:val="1"/>
      <w:numFmt w:val="bullet"/>
      <w:lvlText w:val="o"/>
      <w:lvlJc w:val="left"/>
      <w:pPr>
        <w:tabs>
          <w:tab w:val="left" w:pos="1814"/>
        </w:tabs>
        <w:ind w:left="1814" w:hanging="226"/>
      </w:pPr>
      <w:rPr>
        <w:rFonts w:ascii="Courier New" w:hAnsi="Courier New" w:hint="default"/>
      </w:rPr>
    </w:lvl>
    <w:lvl w:ilvl="8">
      <w:start w:val="1"/>
      <w:numFmt w:val="bullet"/>
      <w:lvlText w:val=""/>
      <w:lvlJc w:val="left"/>
      <w:pPr>
        <w:tabs>
          <w:tab w:val="left" w:pos="2041"/>
        </w:tabs>
        <w:ind w:left="2041" w:hanging="227"/>
      </w:pPr>
      <w:rPr>
        <w:rFonts w:ascii="Wingdings" w:hAnsi="Wingdings" w:hint="default"/>
      </w:rPr>
    </w:lvl>
  </w:abstractNum>
  <w:abstractNum w:abstractNumId="105" w15:restartNumberingAfterBreak="0">
    <w:nsid w:val="1F7D2CCB"/>
    <w:multiLevelType w:val="hybridMultilevel"/>
    <w:tmpl w:val="D05A8E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1FD32329"/>
    <w:multiLevelType w:val="hybridMultilevel"/>
    <w:tmpl w:val="6D4EB21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7" w15:restartNumberingAfterBreak="0">
    <w:nsid w:val="201508EB"/>
    <w:multiLevelType w:val="hybridMultilevel"/>
    <w:tmpl w:val="DFFED4EC"/>
    <w:lvl w:ilvl="0" w:tplc="2BEAFE9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204E7FC6"/>
    <w:multiLevelType w:val="multilevel"/>
    <w:tmpl w:val="475A9E34"/>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9" w15:restartNumberingAfterBreak="0">
    <w:nsid w:val="20687092"/>
    <w:multiLevelType w:val="hybridMultilevel"/>
    <w:tmpl w:val="D228BE10"/>
    <w:lvl w:ilvl="0" w:tplc="193C8BCC">
      <w:start w:val="1"/>
      <w:numFmt w:val="bullet"/>
      <w:lvlText w:val=""/>
      <w:lvlJc w:val="left"/>
      <w:pPr>
        <w:ind w:left="720" w:hanging="360"/>
      </w:pPr>
      <w:rPr>
        <w:rFonts w:ascii="Wingdings" w:hAnsi="Wingdings" w:hint="default"/>
      </w:rPr>
    </w:lvl>
    <w:lvl w:ilvl="1" w:tplc="91CEFA76" w:tentative="1">
      <w:start w:val="1"/>
      <w:numFmt w:val="bullet"/>
      <w:lvlText w:val="o"/>
      <w:lvlJc w:val="left"/>
      <w:pPr>
        <w:ind w:left="1440" w:hanging="360"/>
      </w:pPr>
      <w:rPr>
        <w:rFonts w:ascii="Courier New" w:hAnsi="Courier New" w:cs="Courier New" w:hint="default"/>
      </w:rPr>
    </w:lvl>
    <w:lvl w:ilvl="2" w:tplc="368CEEEE" w:tentative="1">
      <w:start w:val="1"/>
      <w:numFmt w:val="bullet"/>
      <w:lvlText w:val=""/>
      <w:lvlJc w:val="left"/>
      <w:pPr>
        <w:ind w:left="2160" w:hanging="360"/>
      </w:pPr>
      <w:rPr>
        <w:rFonts w:ascii="Wingdings" w:hAnsi="Wingdings" w:hint="default"/>
      </w:rPr>
    </w:lvl>
    <w:lvl w:ilvl="3" w:tplc="B79C90E0" w:tentative="1">
      <w:start w:val="1"/>
      <w:numFmt w:val="bullet"/>
      <w:lvlText w:val=""/>
      <w:lvlJc w:val="left"/>
      <w:pPr>
        <w:ind w:left="2880" w:hanging="360"/>
      </w:pPr>
      <w:rPr>
        <w:rFonts w:ascii="Symbol" w:hAnsi="Symbol" w:hint="default"/>
      </w:rPr>
    </w:lvl>
    <w:lvl w:ilvl="4" w:tplc="6934770A" w:tentative="1">
      <w:start w:val="1"/>
      <w:numFmt w:val="bullet"/>
      <w:lvlText w:val="o"/>
      <w:lvlJc w:val="left"/>
      <w:pPr>
        <w:ind w:left="3600" w:hanging="360"/>
      </w:pPr>
      <w:rPr>
        <w:rFonts w:ascii="Courier New" w:hAnsi="Courier New" w:cs="Courier New" w:hint="default"/>
      </w:rPr>
    </w:lvl>
    <w:lvl w:ilvl="5" w:tplc="52BED3DA" w:tentative="1">
      <w:start w:val="1"/>
      <w:numFmt w:val="bullet"/>
      <w:lvlText w:val=""/>
      <w:lvlJc w:val="left"/>
      <w:pPr>
        <w:ind w:left="4320" w:hanging="360"/>
      </w:pPr>
      <w:rPr>
        <w:rFonts w:ascii="Wingdings" w:hAnsi="Wingdings" w:hint="default"/>
      </w:rPr>
    </w:lvl>
    <w:lvl w:ilvl="6" w:tplc="C866823A" w:tentative="1">
      <w:start w:val="1"/>
      <w:numFmt w:val="bullet"/>
      <w:lvlText w:val=""/>
      <w:lvlJc w:val="left"/>
      <w:pPr>
        <w:ind w:left="5040" w:hanging="360"/>
      </w:pPr>
      <w:rPr>
        <w:rFonts w:ascii="Symbol" w:hAnsi="Symbol" w:hint="default"/>
      </w:rPr>
    </w:lvl>
    <w:lvl w:ilvl="7" w:tplc="8C62103C" w:tentative="1">
      <w:start w:val="1"/>
      <w:numFmt w:val="bullet"/>
      <w:lvlText w:val="o"/>
      <w:lvlJc w:val="left"/>
      <w:pPr>
        <w:ind w:left="5760" w:hanging="360"/>
      </w:pPr>
      <w:rPr>
        <w:rFonts w:ascii="Courier New" w:hAnsi="Courier New" w:cs="Courier New" w:hint="default"/>
      </w:rPr>
    </w:lvl>
    <w:lvl w:ilvl="8" w:tplc="21A065EE" w:tentative="1">
      <w:start w:val="1"/>
      <w:numFmt w:val="bullet"/>
      <w:lvlText w:val=""/>
      <w:lvlJc w:val="left"/>
      <w:pPr>
        <w:ind w:left="6480" w:hanging="360"/>
      </w:pPr>
      <w:rPr>
        <w:rFonts w:ascii="Wingdings" w:hAnsi="Wingdings" w:hint="default"/>
      </w:rPr>
    </w:lvl>
  </w:abstractNum>
  <w:abstractNum w:abstractNumId="110" w15:restartNumberingAfterBreak="0">
    <w:nsid w:val="20C021E3"/>
    <w:multiLevelType w:val="multilevel"/>
    <w:tmpl w:val="4DCAC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1480461"/>
    <w:multiLevelType w:val="multilevel"/>
    <w:tmpl w:val="2148046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2" w15:restartNumberingAfterBreak="0">
    <w:nsid w:val="22222A98"/>
    <w:multiLevelType w:val="hybridMultilevel"/>
    <w:tmpl w:val="21D89D50"/>
    <w:lvl w:ilvl="0" w:tplc="FFFFFFFF">
      <w:start w:val="1"/>
      <w:numFmt w:val="decimal"/>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22BE7DFA"/>
    <w:multiLevelType w:val="multilevel"/>
    <w:tmpl w:val="8B6C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2C811B5"/>
    <w:multiLevelType w:val="hybridMultilevel"/>
    <w:tmpl w:val="F4B0CEA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5" w15:restartNumberingAfterBreak="0">
    <w:nsid w:val="22DE6324"/>
    <w:multiLevelType w:val="multilevel"/>
    <w:tmpl w:val="DFF44BB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6" w15:restartNumberingAfterBreak="0">
    <w:nsid w:val="235C3479"/>
    <w:multiLevelType w:val="hybridMultilevel"/>
    <w:tmpl w:val="92286A90"/>
    <w:lvl w:ilvl="0" w:tplc="4409000B">
      <w:start w:val="3"/>
      <w:numFmt w:val="bullet"/>
      <w:lvlText w:val=""/>
      <w:lvlJc w:val="left"/>
      <w:pPr>
        <w:ind w:left="720" w:hanging="360"/>
      </w:pPr>
      <w:rPr>
        <w:rFonts w:ascii="Wingdings" w:eastAsia="Times New Roman" w:hAnsi="Wingdings"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7" w15:restartNumberingAfterBreak="0">
    <w:nsid w:val="241B47F8"/>
    <w:multiLevelType w:val="hybridMultilevel"/>
    <w:tmpl w:val="7FE87E4E"/>
    <w:lvl w:ilvl="0" w:tplc="EA7A1010">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248A6B46"/>
    <w:multiLevelType w:val="hybridMultilevel"/>
    <w:tmpl w:val="34EA5AFC"/>
    <w:lvl w:ilvl="0" w:tplc="7206BF08">
      <w:start w:val="1"/>
      <w:numFmt w:val="bullet"/>
      <w:lvlText w:val=""/>
      <w:lvlJc w:val="left"/>
      <w:pPr>
        <w:ind w:left="720" w:hanging="360"/>
      </w:pPr>
      <w:rPr>
        <w:rFonts w:ascii="Symbol" w:hAnsi="Symbol" w:hint="default"/>
      </w:rPr>
    </w:lvl>
    <w:lvl w:ilvl="1" w:tplc="24C4FE8A" w:tentative="1">
      <w:start w:val="1"/>
      <w:numFmt w:val="bullet"/>
      <w:lvlText w:val="o"/>
      <w:lvlJc w:val="left"/>
      <w:pPr>
        <w:ind w:left="1440" w:hanging="360"/>
      </w:pPr>
      <w:rPr>
        <w:rFonts w:ascii="Courier New" w:hAnsi="Courier New" w:cs="Courier New" w:hint="default"/>
      </w:rPr>
    </w:lvl>
    <w:lvl w:ilvl="2" w:tplc="BCF48BD4" w:tentative="1">
      <w:start w:val="1"/>
      <w:numFmt w:val="bullet"/>
      <w:lvlText w:val=""/>
      <w:lvlJc w:val="left"/>
      <w:pPr>
        <w:ind w:left="2160" w:hanging="360"/>
      </w:pPr>
      <w:rPr>
        <w:rFonts w:ascii="Wingdings" w:hAnsi="Wingdings" w:hint="default"/>
      </w:rPr>
    </w:lvl>
    <w:lvl w:ilvl="3" w:tplc="AF9A1362" w:tentative="1">
      <w:start w:val="1"/>
      <w:numFmt w:val="bullet"/>
      <w:lvlText w:val=""/>
      <w:lvlJc w:val="left"/>
      <w:pPr>
        <w:ind w:left="2880" w:hanging="360"/>
      </w:pPr>
      <w:rPr>
        <w:rFonts w:ascii="Symbol" w:hAnsi="Symbol" w:hint="default"/>
      </w:rPr>
    </w:lvl>
    <w:lvl w:ilvl="4" w:tplc="E7AC3122" w:tentative="1">
      <w:start w:val="1"/>
      <w:numFmt w:val="bullet"/>
      <w:lvlText w:val="o"/>
      <w:lvlJc w:val="left"/>
      <w:pPr>
        <w:ind w:left="3600" w:hanging="360"/>
      </w:pPr>
      <w:rPr>
        <w:rFonts w:ascii="Courier New" w:hAnsi="Courier New" w:cs="Courier New" w:hint="default"/>
      </w:rPr>
    </w:lvl>
    <w:lvl w:ilvl="5" w:tplc="50F667B4" w:tentative="1">
      <w:start w:val="1"/>
      <w:numFmt w:val="bullet"/>
      <w:lvlText w:val=""/>
      <w:lvlJc w:val="left"/>
      <w:pPr>
        <w:ind w:left="4320" w:hanging="360"/>
      </w:pPr>
      <w:rPr>
        <w:rFonts w:ascii="Wingdings" w:hAnsi="Wingdings" w:hint="default"/>
      </w:rPr>
    </w:lvl>
    <w:lvl w:ilvl="6" w:tplc="F94C95E2" w:tentative="1">
      <w:start w:val="1"/>
      <w:numFmt w:val="bullet"/>
      <w:lvlText w:val=""/>
      <w:lvlJc w:val="left"/>
      <w:pPr>
        <w:ind w:left="5040" w:hanging="360"/>
      </w:pPr>
      <w:rPr>
        <w:rFonts w:ascii="Symbol" w:hAnsi="Symbol" w:hint="default"/>
      </w:rPr>
    </w:lvl>
    <w:lvl w:ilvl="7" w:tplc="77DCA7BA" w:tentative="1">
      <w:start w:val="1"/>
      <w:numFmt w:val="bullet"/>
      <w:lvlText w:val="o"/>
      <w:lvlJc w:val="left"/>
      <w:pPr>
        <w:ind w:left="5760" w:hanging="360"/>
      </w:pPr>
      <w:rPr>
        <w:rFonts w:ascii="Courier New" w:hAnsi="Courier New" w:cs="Courier New" w:hint="default"/>
      </w:rPr>
    </w:lvl>
    <w:lvl w:ilvl="8" w:tplc="0E2C166A" w:tentative="1">
      <w:start w:val="1"/>
      <w:numFmt w:val="bullet"/>
      <w:lvlText w:val=""/>
      <w:lvlJc w:val="left"/>
      <w:pPr>
        <w:ind w:left="6480" w:hanging="360"/>
      </w:pPr>
      <w:rPr>
        <w:rFonts w:ascii="Wingdings" w:hAnsi="Wingdings" w:hint="default"/>
      </w:rPr>
    </w:lvl>
  </w:abstractNum>
  <w:abstractNum w:abstractNumId="119" w15:restartNumberingAfterBreak="0">
    <w:nsid w:val="24FC7FA2"/>
    <w:multiLevelType w:val="multilevel"/>
    <w:tmpl w:val="24FC7FA2"/>
    <w:lvl w:ilvl="0">
      <w:start w:val="1"/>
      <w:numFmt w:val="decimal"/>
      <w:pStyle w:val="ListNumber4"/>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25113E26"/>
    <w:multiLevelType w:val="hybridMultilevel"/>
    <w:tmpl w:val="061EE4E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2" w15:restartNumberingAfterBreak="0">
    <w:nsid w:val="253632ED"/>
    <w:multiLevelType w:val="hybridMultilevel"/>
    <w:tmpl w:val="B9DA61E2"/>
    <w:lvl w:ilvl="0" w:tplc="946C69EE">
      <w:start w:val="1"/>
      <w:numFmt w:val="decimal"/>
      <w:lvlText w:val="%1."/>
      <w:lvlJc w:val="left"/>
      <w:pPr>
        <w:ind w:left="720" w:hanging="360"/>
      </w:pPr>
      <w:rPr>
        <w:rFonts w:hint="default"/>
      </w:rPr>
    </w:lvl>
    <w:lvl w:ilvl="1" w:tplc="25E63064" w:tentative="1">
      <w:start w:val="1"/>
      <w:numFmt w:val="bullet"/>
      <w:lvlText w:val="o"/>
      <w:lvlJc w:val="left"/>
      <w:pPr>
        <w:ind w:left="1440" w:hanging="360"/>
      </w:pPr>
      <w:rPr>
        <w:rFonts w:ascii="Courier New" w:hAnsi="Courier New" w:cs="Courier New" w:hint="default"/>
      </w:rPr>
    </w:lvl>
    <w:lvl w:ilvl="2" w:tplc="BAEA59CE" w:tentative="1">
      <w:start w:val="1"/>
      <w:numFmt w:val="bullet"/>
      <w:lvlText w:val=""/>
      <w:lvlJc w:val="left"/>
      <w:pPr>
        <w:ind w:left="2160" w:hanging="360"/>
      </w:pPr>
      <w:rPr>
        <w:rFonts w:ascii="Wingdings" w:hAnsi="Wingdings" w:hint="default"/>
      </w:rPr>
    </w:lvl>
    <w:lvl w:ilvl="3" w:tplc="C5DE866A" w:tentative="1">
      <w:start w:val="1"/>
      <w:numFmt w:val="bullet"/>
      <w:lvlText w:val=""/>
      <w:lvlJc w:val="left"/>
      <w:pPr>
        <w:ind w:left="2880" w:hanging="360"/>
      </w:pPr>
      <w:rPr>
        <w:rFonts w:ascii="Symbol" w:hAnsi="Symbol" w:hint="default"/>
      </w:rPr>
    </w:lvl>
    <w:lvl w:ilvl="4" w:tplc="F2101846" w:tentative="1">
      <w:start w:val="1"/>
      <w:numFmt w:val="bullet"/>
      <w:lvlText w:val="o"/>
      <w:lvlJc w:val="left"/>
      <w:pPr>
        <w:ind w:left="3600" w:hanging="360"/>
      </w:pPr>
      <w:rPr>
        <w:rFonts w:ascii="Courier New" w:hAnsi="Courier New" w:cs="Courier New" w:hint="default"/>
      </w:rPr>
    </w:lvl>
    <w:lvl w:ilvl="5" w:tplc="985EB8A4" w:tentative="1">
      <w:start w:val="1"/>
      <w:numFmt w:val="bullet"/>
      <w:lvlText w:val=""/>
      <w:lvlJc w:val="left"/>
      <w:pPr>
        <w:ind w:left="4320" w:hanging="360"/>
      </w:pPr>
      <w:rPr>
        <w:rFonts w:ascii="Wingdings" w:hAnsi="Wingdings" w:hint="default"/>
      </w:rPr>
    </w:lvl>
    <w:lvl w:ilvl="6" w:tplc="EA566E1A" w:tentative="1">
      <w:start w:val="1"/>
      <w:numFmt w:val="bullet"/>
      <w:lvlText w:val=""/>
      <w:lvlJc w:val="left"/>
      <w:pPr>
        <w:ind w:left="5040" w:hanging="360"/>
      </w:pPr>
      <w:rPr>
        <w:rFonts w:ascii="Symbol" w:hAnsi="Symbol" w:hint="default"/>
      </w:rPr>
    </w:lvl>
    <w:lvl w:ilvl="7" w:tplc="4AAC3D48" w:tentative="1">
      <w:start w:val="1"/>
      <w:numFmt w:val="bullet"/>
      <w:lvlText w:val="o"/>
      <w:lvlJc w:val="left"/>
      <w:pPr>
        <w:ind w:left="5760" w:hanging="360"/>
      </w:pPr>
      <w:rPr>
        <w:rFonts w:ascii="Courier New" w:hAnsi="Courier New" w:cs="Courier New" w:hint="default"/>
      </w:rPr>
    </w:lvl>
    <w:lvl w:ilvl="8" w:tplc="4FFCFF4C" w:tentative="1">
      <w:start w:val="1"/>
      <w:numFmt w:val="bullet"/>
      <w:lvlText w:val=""/>
      <w:lvlJc w:val="left"/>
      <w:pPr>
        <w:ind w:left="6480" w:hanging="360"/>
      </w:pPr>
      <w:rPr>
        <w:rFonts w:ascii="Wingdings" w:hAnsi="Wingdings" w:hint="default"/>
      </w:rPr>
    </w:lvl>
  </w:abstractNum>
  <w:abstractNum w:abstractNumId="123" w15:restartNumberingAfterBreak="0">
    <w:nsid w:val="256F56B9"/>
    <w:multiLevelType w:val="multilevel"/>
    <w:tmpl w:val="6116E102"/>
    <w:lvl w:ilvl="0">
      <w:start w:val="1"/>
      <w:numFmt w:val="decimal"/>
      <w:lvlText w:val="%1"/>
      <w:lvlJc w:val="left"/>
      <w:pPr>
        <w:ind w:left="1065" w:hanging="480"/>
      </w:pPr>
      <w:rPr>
        <w:rFonts w:ascii="Times New Roman" w:eastAsia="Times New Roman" w:hAnsi="Times New Roman" w:cs="Times New Roman" w:hint="default"/>
        <w:b/>
        <w:bCs/>
        <w:i w:val="0"/>
        <w:iCs w:val="0"/>
        <w:w w:val="100"/>
        <w:sz w:val="24"/>
        <w:szCs w:val="24"/>
        <w:lang w:val="en-US" w:eastAsia="en-US" w:bidi="ar-SA"/>
      </w:rPr>
    </w:lvl>
    <w:lvl w:ilvl="1">
      <w:start w:val="1"/>
      <w:numFmt w:val="decimal"/>
      <w:lvlText w:val="%1.%2"/>
      <w:lvlJc w:val="left"/>
      <w:pPr>
        <w:ind w:left="1545" w:hanging="720"/>
      </w:pPr>
      <w:rPr>
        <w:rFonts w:ascii="Times New Roman" w:eastAsia="Times New Roman" w:hAnsi="Times New Roman" w:cs="Times New Roman" w:hint="default"/>
        <w:b w:val="0"/>
        <w:bCs w:val="0"/>
        <w:i w:val="0"/>
        <w:iCs w:val="0"/>
        <w:w w:val="100"/>
        <w:sz w:val="24"/>
        <w:szCs w:val="24"/>
        <w:lang w:val="en-US" w:eastAsia="en-US" w:bidi="ar-SA"/>
      </w:rPr>
    </w:lvl>
    <w:lvl w:ilvl="2">
      <w:numFmt w:val="bullet"/>
      <w:lvlText w:val="•"/>
      <w:lvlJc w:val="left"/>
      <w:pPr>
        <w:ind w:left="2476" w:hanging="720"/>
      </w:pPr>
      <w:rPr>
        <w:rFonts w:hint="default"/>
        <w:lang w:val="en-US" w:eastAsia="en-US" w:bidi="ar-SA"/>
      </w:rPr>
    </w:lvl>
    <w:lvl w:ilvl="3">
      <w:numFmt w:val="bullet"/>
      <w:lvlText w:val="•"/>
      <w:lvlJc w:val="left"/>
      <w:pPr>
        <w:ind w:left="3412" w:hanging="720"/>
      </w:pPr>
      <w:rPr>
        <w:rFonts w:hint="default"/>
        <w:lang w:val="en-US" w:eastAsia="en-US" w:bidi="ar-SA"/>
      </w:rPr>
    </w:lvl>
    <w:lvl w:ilvl="4">
      <w:numFmt w:val="bullet"/>
      <w:lvlText w:val="•"/>
      <w:lvlJc w:val="left"/>
      <w:pPr>
        <w:ind w:left="4348" w:hanging="720"/>
      </w:pPr>
      <w:rPr>
        <w:rFonts w:hint="default"/>
        <w:lang w:val="en-US" w:eastAsia="en-US" w:bidi="ar-SA"/>
      </w:rPr>
    </w:lvl>
    <w:lvl w:ilvl="5">
      <w:numFmt w:val="bullet"/>
      <w:lvlText w:val="•"/>
      <w:lvlJc w:val="left"/>
      <w:pPr>
        <w:ind w:left="5284" w:hanging="720"/>
      </w:pPr>
      <w:rPr>
        <w:rFonts w:hint="default"/>
        <w:lang w:val="en-US" w:eastAsia="en-US" w:bidi="ar-SA"/>
      </w:rPr>
    </w:lvl>
    <w:lvl w:ilvl="6">
      <w:numFmt w:val="bullet"/>
      <w:lvlText w:val="•"/>
      <w:lvlJc w:val="left"/>
      <w:pPr>
        <w:ind w:left="6220" w:hanging="720"/>
      </w:pPr>
      <w:rPr>
        <w:rFonts w:hint="default"/>
        <w:lang w:val="en-US" w:eastAsia="en-US" w:bidi="ar-SA"/>
      </w:rPr>
    </w:lvl>
    <w:lvl w:ilvl="7">
      <w:numFmt w:val="bullet"/>
      <w:lvlText w:val="•"/>
      <w:lvlJc w:val="left"/>
      <w:pPr>
        <w:ind w:left="7156" w:hanging="720"/>
      </w:pPr>
      <w:rPr>
        <w:rFonts w:hint="default"/>
        <w:lang w:val="en-US" w:eastAsia="en-US" w:bidi="ar-SA"/>
      </w:rPr>
    </w:lvl>
    <w:lvl w:ilvl="8">
      <w:numFmt w:val="bullet"/>
      <w:lvlText w:val="•"/>
      <w:lvlJc w:val="left"/>
      <w:pPr>
        <w:ind w:left="8092" w:hanging="720"/>
      </w:pPr>
      <w:rPr>
        <w:rFonts w:hint="default"/>
        <w:lang w:val="en-US" w:eastAsia="en-US" w:bidi="ar-SA"/>
      </w:rPr>
    </w:lvl>
  </w:abstractNum>
  <w:abstractNum w:abstractNumId="124" w15:restartNumberingAfterBreak="0">
    <w:nsid w:val="25B016FC"/>
    <w:multiLevelType w:val="multilevel"/>
    <w:tmpl w:val="E612C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5C400F8"/>
    <w:multiLevelType w:val="multilevel"/>
    <w:tmpl w:val="AF062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6430F22"/>
    <w:multiLevelType w:val="hybridMultilevel"/>
    <w:tmpl w:val="5EA2D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266F2B4D"/>
    <w:multiLevelType w:val="multilevel"/>
    <w:tmpl w:val="C3702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6927083"/>
    <w:multiLevelType w:val="hybridMultilevel"/>
    <w:tmpl w:val="420E65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26EA1A25"/>
    <w:multiLevelType w:val="hybridMultilevel"/>
    <w:tmpl w:val="45F66C9C"/>
    <w:lvl w:ilvl="0" w:tplc="A3846860">
      <w:start w:val="1"/>
      <w:numFmt w:val="bullet"/>
      <w:lvlText w:val=""/>
      <w:lvlJc w:val="left"/>
      <w:pPr>
        <w:ind w:left="720" w:hanging="360"/>
      </w:pPr>
      <w:rPr>
        <w:rFonts w:ascii="Wingdings" w:hAnsi="Wingdings" w:hint="default"/>
      </w:rPr>
    </w:lvl>
    <w:lvl w:ilvl="1" w:tplc="BED0D606" w:tentative="1">
      <w:start w:val="1"/>
      <w:numFmt w:val="bullet"/>
      <w:lvlText w:val="o"/>
      <w:lvlJc w:val="left"/>
      <w:pPr>
        <w:ind w:left="1440" w:hanging="360"/>
      </w:pPr>
      <w:rPr>
        <w:rFonts w:ascii="Courier New" w:hAnsi="Courier New" w:cs="Courier New" w:hint="default"/>
      </w:rPr>
    </w:lvl>
    <w:lvl w:ilvl="2" w:tplc="6652CB78" w:tentative="1">
      <w:start w:val="1"/>
      <w:numFmt w:val="bullet"/>
      <w:lvlText w:val=""/>
      <w:lvlJc w:val="left"/>
      <w:pPr>
        <w:ind w:left="2160" w:hanging="360"/>
      </w:pPr>
      <w:rPr>
        <w:rFonts w:ascii="Wingdings" w:hAnsi="Wingdings" w:hint="default"/>
      </w:rPr>
    </w:lvl>
    <w:lvl w:ilvl="3" w:tplc="47E220E8" w:tentative="1">
      <w:start w:val="1"/>
      <w:numFmt w:val="bullet"/>
      <w:lvlText w:val=""/>
      <w:lvlJc w:val="left"/>
      <w:pPr>
        <w:ind w:left="2880" w:hanging="360"/>
      </w:pPr>
      <w:rPr>
        <w:rFonts w:ascii="Symbol" w:hAnsi="Symbol" w:hint="default"/>
      </w:rPr>
    </w:lvl>
    <w:lvl w:ilvl="4" w:tplc="A60C9BA0" w:tentative="1">
      <w:start w:val="1"/>
      <w:numFmt w:val="bullet"/>
      <w:lvlText w:val="o"/>
      <w:lvlJc w:val="left"/>
      <w:pPr>
        <w:ind w:left="3600" w:hanging="360"/>
      </w:pPr>
      <w:rPr>
        <w:rFonts w:ascii="Courier New" w:hAnsi="Courier New" w:cs="Courier New" w:hint="default"/>
      </w:rPr>
    </w:lvl>
    <w:lvl w:ilvl="5" w:tplc="C330A0F6" w:tentative="1">
      <w:start w:val="1"/>
      <w:numFmt w:val="bullet"/>
      <w:lvlText w:val=""/>
      <w:lvlJc w:val="left"/>
      <w:pPr>
        <w:ind w:left="4320" w:hanging="360"/>
      </w:pPr>
      <w:rPr>
        <w:rFonts w:ascii="Wingdings" w:hAnsi="Wingdings" w:hint="default"/>
      </w:rPr>
    </w:lvl>
    <w:lvl w:ilvl="6" w:tplc="AD7ACCBA" w:tentative="1">
      <w:start w:val="1"/>
      <w:numFmt w:val="bullet"/>
      <w:lvlText w:val=""/>
      <w:lvlJc w:val="left"/>
      <w:pPr>
        <w:ind w:left="5040" w:hanging="360"/>
      </w:pPr>
      <w:rPr>
        <w:rFonts w:ascii="Symbol" w:hAnsi="Symbol" w:hint="default"/>
      </w:rPr>
    </w:lvl>
    <w:lvl w:ilvl="7" w:tplc="A3380A20" w:tentative="1">
      <w:start w:val="1"/>
      <w:numFmt w:val="bullet"/>
      <w:lvlText w:val="o"/>
      <w:lvlJc w:val="left"/>
      <w:pPr>
        <w:ind w:left="5760" w:hanging="360"/>
      </w:pPr>
      <w:rPr>
        <w:rFonts w:ascii="Courier New" w:hAnsi="Courier New" w:cs="Courier New" w:hint="default"/>
      </w:rPr>
    </w:lvl>
    <w:lvl w:ilvl="8" w:tplc="E4B0CE2E" w:tentative="1">
      <w:start w:val="1"/>
      <w:numFmt w:val="bullet"/>
      <w:lvlText w:val=""/>
      <w:lvlJc w:val="left"/>
      <w:pPr>
        <w:ind w:left="6480" w:hanging="360"/>
      </w:pPr>
      <w:rPr>
        <w:rFonts w:ascii="Wingdings" w:hAnsi="Wingdings" w:hint="default"/>
      </w:rPr>
    </w:lvl>
  </w:abstractNum>
  <w:abstractNum w:abstractNumId="130" w15:restartNumberingAfterBreak="0">
    <w:nsid w:val="27AC201F"/>
    <w:multiLevelType w:val="multilevel"/>
    <w:tmpl w:val="F9328EE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32" w15:restartNumberingAfterBreak="0">
    <w:nsid w:val="282D7D83"/>
    <w:multiLevelType w:val="hybridMultilevel"/>
    <w:tmpl w:val="B184BA44"/>
    <w:lvl w:ilvl="0" w:tplc="254419D8">
      <w:start w:val="1"/>
      <w:numFmt w:val="bullet"/>
      <w:lvlText w:val=""/>
      <w:lvlJc w:val="left"/>
      <w:pPr>
        <w:ind w:left="720" w:hanging="360"/>
      </w:pPr>
      <w:rPr>
        <w:rFonts w:ascii="Wingdings" w:hAnsi="Wingdings" w:hint="default"/>
      </w:rPr>
    </w:lvl>
    <w:lvl w:ilvl="1" w:tplc="C14C0C4C" w:tentative="1">
      <w:start w:val="1"/>
      <w:numFmt w:val="bullet"/>
      <w:lvlText w:val="o"/>
      <w:lvlJc w:val="left"/>
      <w:pPr>
        <w:ind w:left="1440" w:hanging="360"/>
      </w:pPr>
      <w:rPr>
        <w:rFonts w:ascii="Courier New" w:hAnsi="Courier New" w:cs="Courier New" w:hint="default"/>
      </w:rPr>
    </w:lvl>
    <w:lvl w:ilvl="2" w:tplc="36221392" w:tentative="1">
      <w:start w:val="1"/>
      <w:numFmt w:val="bullet"/>
      <w:lvlText w:val=""/>
      <w:lvlJc w:val="left"/>
      <w:pPr>
        <w:ind w:left="2160" w:hanging="360"/>
      </w:pPr>
      <w:rPr>
        <w:rFonts w:ascii="Wingdings" w:hAnsi="Wingdings" w:hint="default"/>
      </w:rPr>
    </w:lvl>
    <w:lvl w:ilvl="3" w:tplc="4524C5A6" w:tentative="1">
      <w:start w:val="1"/>
      <w:numFmt w:val="bullet"/>
      <w:lvlText w:val=""/>
      <w:lvlJc w:val="left"/>
      <w:pPr>
        <w:ind w:left="2880" w:hanging="360"/>
      </w:pPr>
      <w:rPr>
        <w:rFonts w:ascii="Symbol" w:hAnsi="Symbol" w:hint="default"/>
      </w:rPr>
    </w:lvl>
    <w:lvl w:ilvl="4" w:tplc="29646970" w:tentative="1">
      <w:start w:val="1"/>
      <w:numFmt w:val="bullet"/>
      <w:lvlText w:val="o"/>
      <w:lvlJc w:val="left"/>
      <w:pPr>
        <w:ind w:left="3600" w:hanging="360"/>
      </w:pPr>
      <w:rPr>
        <w:rFonts w:ascii="Courier New" w:hAnsi="Courier New" w:cs="Courier New" w:hint="default"/>
      </w:rPr>
    </w:lvl>
    <w:lvl w:ilvl="5" w:tplc="69707BDE" w:tentative="1">
      <w:start w:val="1"/>
      <w:numFmt w:val="bullet"/>
      <w:lvlText w:val=""/>
      <w:lvlJc w:val="left"/>
      <w:pPr>
        <w:ind w:left="4320" w:hanging="360"/>
      </w:pPr>
      <w:rPr>
        <w:rFonts w:ascii="Wingdings" w:hAnsi="Wingdings" w:hint="default"/>
      </w:rPr>
    </w:lvl>
    <w:lvl w:ilvl="6" w:tplc="93DCE02C" w:tentative="1">
      <w:start w:val="1"/>
      <w:numFmt w:val="bullet"/>
      <w:lvlText w:val=""/>
      <w:lvlJc w:val="left"/>
      <w:pPr>
        <w:ind w:left="5040" w:hanging="360"/>
      </w:pPr>
      <w:rPr>
        <w:rFonts w:ascii="Symbol" w:hAnsi="Symbol" w:hint="default"/>
      </w:rPr>
    </w:lvl>
    <w:lvl w:ilvl="7" w:tplc="8A729890" w:tentative="1">
      <w:start w:val="1"/>
      <w:numFmt w:val="bullet"/>
      <w:lvlText w:val="o"/>
      <w:lvlJc w:val="left"/>
      <w:pPr>
        <w:ind w:left="5760" w:hanging="360"/>
      </w:pPr>
      <w:rPr>
        <w:rFonts w:ascii="Courier New" w:hAnsi="Courier New" w:cs="Courier New" w:hint="default"/>
      </w:rPr>
    </w:lvl>
    <w:lvl w:ilvl="8" w:tplc="6FF8F952" w:tentative="1">
      <w:start w:val="1"/>
      <w:numFmt w:val="bullet"/>
      <w:lvlText w:val=""/>
      <w:lvlJc w:val="left"/>
      <w:pPr>
        <w:ind w:left="6480" w:hanging="360"/>
      </w:pPr>
      <w:rPr>
        <w:rFonts w:ascii="Wingdings" w:hAnsi="Wingdings" w:hint="default"/>
      </w:rPr>
    </w:lvl>
  </w:abstractNum>
  <w:abstractNum w:abstractNumId="133"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28BF55B7"/>
    <w:multiLevelType w:val="hybridMultilevel"/>
    <w:tmpl w:val="A2FE6628"/>
    <w:lvl w:ilvl="0" w:tplc="84D68B1E">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9393CBE"/>
    <w:multiLevelType w:val="multilevel"/>
    <w:tmpl w:val="0D64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A430554"/>
    <w:multiLevelType w:val="hybridMultilevel"/>
    <w:tmpl w:val="A43C2904"/>
    <w:lvl w:ilvl="0" w:tplc="638087F4">
      <w:start w:val="1"/>
      <w:numFmt w:val="lowerRoman"/>
      <w:lvlText w:val="%1."/>
      <w:lvlJc w:val="right"/>
      <w:pPr>
        <w:ind w:left="720" w:hanging="360"/>
      </w:pPr>
    </w:lvl>
    <w:lvl w:ilvl="1" w:tplc="FC249528" w:tentative="1">
      <w:start w:val="1"/>
      <w:numFmt w:val="lowerLetter"/>
      <w:lvlText w:val="%2."/>
      <w:lvlJc w:val="left"/>
      <w:pPr>
        <w:ind w:left="1440" w:hanging="360"/>
      </w:pPr>
    </w:lvl>
    <w:lvl w:ilvl="2" w:tplc="A5343DB6" w:tentative="1">
      <w:start w:val="1"/>
      <w:numFmt w:val="lowerRoman"/>
      <w:lvlText w:val="%3."/>
      <w:lvlJc w:val="right"/>
      <w:pPr>
        <w:ind w:left="2160" w:hanging="180"/>
      </w:pPr>
    </w:lvl>
    <w:lvl w:ilvl="3" w:tplc="FD38EFBA" w:tentative="1">
      <w:start w:val="1"/>
      <w:numFmt w:val="decimal"/>
      <w:lvlText w:val="%4."/>
      <w:lvlJc w:val="left"/>
      <w:pPr>
        <w:ind w:left="2880" w:hanging="360"/>
      </w:pPr>
    </w:lvl>
    <w:lvl w:ilvl="4" w:tplc="73F62BBC" w:tentative="1">
      <w:start w:val="1"/>
      <w:numFmt w:val="lowerLetter"/>
      <w:lvlText w:val="%5."/>
      <w:lvlJc w:val="left"/>
      <w:pPr>
        <w:ind w:left="3600" w:hanging="360"/>
      </w:pPr>
    </w:lvl>
    <w:lvl w:ilvl="5" w:tplc="4F3AC508" w:tentative="1">
      <w:start w:val="1"/>
      <w:numFmt w:val="lowerRoman"/>
      <w:lvlText w:val="%6."/>
      <w:lvlJc w:val="right"/>
      <w:pPr>
        <w:ind w:left="4320" w:hanging="180"/>
      </w:pPr>
    </w:lvl>
    <w:lvl w:ilvl="6" w:tplc="660C4030" w:tentative="1">
      <w:start w:val="1"/>
      <w:numFmt w:val="decimal"/>
      <w:lvlText w:val="%7."/>
      <w:lvlJc w:val="left"/>
      <w:pPr>
        <w:ind w:left="5040" w:hanging="360"/>
      </w:pPr>
    </w:lvl>
    <w:lvl w:ilvl="7" w:tplc="D77A070E" w:tentative="1">
      <w:start w:val="1"/>
      <w:numFmt w:val="lowerLetter"/>
      <w:lvlText w:val="%8."/>
      <w:lvlJc w:val="left"/>
      <w:pPr>
        <w:ind w:left="5760" w:hanging="360"/>
      </w:pPr>
    </w:lvl>
    <w:lvl w:ilvl="8" w:tplc="DF1E2054" w:tentative="1">
      <w:start w:val="1"/>
      <w:numFmt w:val="lowerRoman"/>
      <w:lvlText w:val="%9."/>
      <w:lvlJc w:val="right"/>
      <w:pPr>
        <w:ind w:left="6480" w:hanging="180"/>
      </w:pPr>
    </w:lvl>
  </w:abstractNum>
  <w:abstractNum w:abstractNumId="137" w15:restartNumberingAfterBreak="0">
    <w:nsid w:val="2B786681"/>
    <w:multiLevelType w:val="multilevel"/>
    <w:tmpl w:val="516AE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BEE0E9A"/>
    <w:multiLevelType w:val="multilevel"/>
    <w:tmpl w:val="96A00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2C446A59"/>
    <w:multiLevelType w:val="hybridMultilevel"/>
    <w:tmpl w:val="B476B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2C5909D0"/>
    <w:multiLevelType w:val="multilevel"/>
    <w:tmpl w:val="5F8AA5E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1" w15:restartNumberingAfterBreak="0">
    <w:nsid w:val="2C8816A8"/>
    <w:multiLevelType w:val="hybridMultilevel"/>
    <w:tmpl w:val="B476B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2DAF5CE7"/>
    <w:multiLevelType w:val="hybridMultilevel"/>
    <w:tmpl w:val="C00C04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2DD16C66"/>
    <w:multiLevelType w:val="multilevel"/>
    <w:tmpl w:val="8488D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2E454C60"/>
    <w:multiLevelType w:val="hybridMultilevel"/>
    <w:tmpl w:val="71509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2E6F0E2B"/>
    <w:multiLevelType w:val="hybridMultilevel"/>
    <w:tmpl w:val="A51CB516"/>
    <w:lvl w:ilvl="0" w:tplc="AB4AA2D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2EE254FF"/>
    <w:multiLevelType w:val="multilevel"/>
    <w:tmpl w:val="2EE254FF"/>
    <w:lvl w:ilvl="0">
      <w:start w:val="1"/>
      <w:numFmt w:val="decimal"/>
      <w:pStyle w:val="ListBullet"/>
      <w:lvlText w:val="%1"/>
      <w:lvlJc w:val="left"/>
      <w:pPr>
        <w:ind w:left="720" w:hanging="720"/>
      </w:pPr>
      <w:rPr>
        <w:rFonts w:ascii="Times New Roman" w:hAnsi="Times New Roman" w:hint="default"/>
        <w:b/>
        <w:i w:val="0"/>
        <w:caps w:val="0"/>
        <w:vanish/>
        <w:color w:val="FF0000"/>
        <w:sz w:val="22"/>
      </w:rPr>
    </w:lvl>
    <w:lvl w:ilvl="1">
      <w:start w:val="1"/>
      <w:numFmt w:val="upperRoman"/>
      <w:lvlRestart w:val="0"/>
      <w:lvlText w:val="Bab %2"/>
      <w:lvlJc w:val="left"/>
      <w:pPr>
        <w:tabs>
          <w:tab w:val="left" w:pos="851"/>
        </w:tabs>
        <w:ind w:left="0" w:firstLine="0"/>
      </w:pPr>
      <w:rPr>
        <w:rFonts w:ascii="Times New Roman" w:hAnsi="Times New Roman" w:cs="Times New Roman" w:hint="default"/>
        <w:b/>
        <w:i w:val="0"/>
        <w:caps/>
        <w:vanish w:val="0"/>
        <w:color w:val="auto"/>
        <w:sz w:val="22"/>
      </w:rPr>
    </w:lvl>
    <w:lvl w:ilvl="2">
      <w:start w:val="1"/>
      <w:numFmt w:val="decimal"/>
      <w:lvlText w:val="%1.%3"/>
      <w:lvlJc w:val="left"/>
      <w:pPr>
        <w:ind w:left="720" w:hanging="720"/>
      </w:pPr>
      <w:rPr>
        <w:rFonts w:ascii="Times New Roman" w:hAnsi="Times New Roman" w:cs="Times New Roman" w:hint="default"/>
        <w:b/>
        <w:i w:val="0"/>
        <w:caps/>
        <w:vanish w:val="0"/>
        <w:sz w:val="22"/>
      </w:rPr>
    </w:lvl>
    <w:lvl w:ilvl="3">
      <w:start w:val="1"/>
      <w:numFmt w:val="decimal"/>
      <w:lvlText w:val="%1.%3.%4"/>
      <w:lvlJc w:val="left"/>
      <w:pPr>
        <w:ind w:left="720" w:hanging="720"/>
      </w:pPr>
      <w:rPr>
        <w:rFonts w:ascii="Times New Roman" w:hAnsi="Times New Roman" w:cs="Times New Roman" w:hint="default"/>
        <w:b/>
        <w:i w:val="0"/>
        <w:caps w:val="0"/>
        <w:vanish w:val="0"/>
        <w:sz w:val="22"/>
      </w:rPr>
    </w:lvl>
    <w:lvl w:ilvl="4">
      <w:start w:val="1"/>
      <w:numFmt w:val="lowerLetter"/>
      <w:lvlText w:val="%5."/>
      <w:lvlJc w:val="left"/>
      <w:pPr>
        <w:ind w:left="720" w:hanging="720"/>
      </w:pPr>
      <w:rPr>
        <w:rFonts w:ascii="Times New Roman" w:hAnsi="Times New Roman" w:cs="Times New Roman" w:hint="default"/>
        <w:b/>
        <w:i w:val="0"/>
        <w:caps w:val="0"/>
        <w:vanish w:val="0"/>
        <w:sz w:val="22"/>
      </w:rPr>
    </w:lvl>
    <w:lvl w:ilvl="5">
      <w:start w:val="1"/>
      <w:numFmt w:val="lowerRoman"/>
      <w:lvlText w:val="%6."/>
      <w:lvlJc w:val="left"/>
      <w:pPr>
        <w:ind w:left="720" w:hanging="720"/>
      </w:pPr>
      <w:rPr>
        <w:rFonts w:ascii="Times New Roman" w:hAnsi="Times New Roman" w:cs="Times New Roman" w:hint="default"/>
        <w:b/>
        <w:i w:val="0"/>
        <w:caps w:val="0"/>
        <w:vanish w:val="0"/>
        <w:sz w:val="22"/>
      </w:rPr>
    </w:lvl>
    <w:lvl w:ilvl="6">
      <w:start w:val="1"/>
      <w:numFmt w:val="decimal"/>
      <w:lvlText w:val="%7."/>
      <w:lvlJc w:val="left"/>
      <w:pPr>
        <w:ind w:left="720" w:hanging="720"/>
      </w:pPr>
      <w:rPr>
        <w:rFonts w:ascii="Times New Roman" w:hAnsi="Times New Roman" w:cs="Times New Roman" w:hint="default"/>
        <w:b/>
        <w:i w:val="0"/>
        <w:caps w:val="0"/>
        <w:vanish w:val="0"/>
        <w:sz w:val="22"/>
      </w:rPr>
    </w:lvl>
    <w:lvl w:ilvl="7">
      <w:start w:val="1"/>
      <w:numFmt w:val="lowerLetter"/>
      <w:lvlText w:val="%8."/>
      <w:lvlJc w:val="left"/>
      <w:pPr>
        <w:ind w:left="720" w:hanging="720"/>
      </w:pPr>
      <w:rPr>
        <w:rFonts w:ascii="Times New Roman" w:hAnsi="Times New Roman" w:cs="Times New Roman" w:hint="default"/>
        <w:b/>
        <w:i w:val="0"/>
        <w:caps w:val="0"/>
        <w:vanish w:val="0"/>
        <w:sz w:val="22"/>
      </w:rPr>
    </w:lvl>
    <w:lvl w:ilvl="8">
      <w:start w:val="1"/>
      <w:numFmt w:val="lowerRoman"/>
      <w:lvlText w:val="%9."/>
      <w:lvlJc w:val="left"/>
      <w:pPr>
        <w:ind w:left="720" w:hanging="720"/>
      </w:pPr>
      <w:rPr>
        <w:rFonts w:ascii="Times New Roman" w:hAnsi="Times New Roman" w:cs="Times New Roman" w:hint="default"/>
        <w:b/>
        <w:i w:val="0"/>
        <w:caps w:val="0"/>
        <w:vanish w:val="0"/>
        <w:sz w:val="22"/>
      </w:rPr>
    </w:lvl>
  </w:abstractNum>
  <w:abstractNum w:abstractNumId="147" w15:restartNumberingAfterBreak="0">
    <w:nsid w:val="2F04759F"/>
    <w:multiLevelType w:val="multilevel"/>
    <w:tmpl w:val="720470B6"/>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15:restartNumberingAfterBreak="0">
    <w:nsid w:val="2F5E5AEC"/>
    <w:multiLevelType w:val="hybridMultilevel"/>
    <w:tmpl w:val="C2B65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F645324"/>
    <w:multiLevelType w:val="multilevel"/>
    <w:tmpl w:val="AF0AA2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2FB62264"/>
    <w:multiLevelType w:val="hybridMultilevel"/>
    <w:tmpl w:val="C744F440"/>
    <w:lvl w:ilvl="0" w:tplc="9ECC6CEA">
      <w:start w:val="1"/>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30154891"/>
    <w:multiLevelType w:val="hybridMultilevel"/>
    <w:tmpl w:val="1D827A5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2" w15:restartNumberingAfterBreak="0">
    <w:nsid w:val="30166FE0"/>
    <w:multiLevelType w:val="multilevel"/>
    <w:tmpl w:val="7F0EC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04221D1"/>
    <w:multiLevelType w:val="hybridMultilevel"/>
    <w:tmpl w:val="1A601F1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304F0249"/>
    <w:multiLevelType w:val="multilevel"/>
    <w:tmpl w:val="C936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075231F"/>
    <w:multiLevelType w:val="hybridMultilevel"/>
    <w:tmpl w:val="3E70B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30766859"/>
    <w:multiLevelType w:val="multilevel"/>
    <w:tmpl w:val="E806D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30C36667"/>
    <w:multiLevelType w:val="hybridMultilevel"/>
    <w:tmpl w:val="B476B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30E200F6"/>
    <w:multiLevelType w:val="multilevel"/>
    <w:tmpl w:val="2856C1C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31AC5083"/>
    <w:multiLevelType w:val="multilevel"/>
    <w:tmpl w:val="FB2EAFB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0" w15:restartNumberingAfterBreak="0">
    <w:nsid w:val="31D1578D"/>
    <w:multiLevelType w:val="multilevel"/>
    <w:tmpl w:val="0234F24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1" w15:restartNumberingAfterBreak="0">
    <w:nsid w:val="31D915B7"/>
    <w:multiLevelType w:val="multilevel"/>
    <w:tmpl w:val="6306738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2" w15:restartNumberingAfterBreak="0">
    <w:nsid w:val="31E849CB"/>
    <w:multiLevelType w:val="multilevel"/>
    <w:tmpl w:val="707EFE42"/>
    <w:lvl w:ilvl="0">
      <w:start w:val="2"/>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5"/>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3" w15:restartNumberingAfterBreak="0">
    <w:nsid w:val="32466B91"/>
    <w:multiLevelType w:val="multilevel"/>
    <w:tmpl w:val="E4320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32BD4484"/>
    <w:multiLevelType w:val="multilevel"/>
    <w:tmpl w:val="8E4A28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32C269FB"/>
    <w:multiLevelType w:val="hybridMultilevel"/>
    <w:tmpl w:val="19CE75FC"/>
    <w:lvl w:ilvl="0" w:tplc="BA6A07D0">
      <w:start w:val="1"/>
      <w:numFmt w:val="bullet"/>
      <w:lvlText w:val="•"/>
      <w:lvlJc w:val="left"/>
      <w:pPr>
        <w:tabs>
          <w:tab w:val="num" w:pos="720"/>
        </w:tabs>
        <w:ind w:left="720" w:hanging="360"/>
      </w:pPr>
      <w:rPr>
        <w:rFonts w:ascii="Arial" w:hAnsi="Arial" w:hint="default"/>
      </w:rPr>
    </w:lvl>
    <w:lvl w:ilvl="1" w:tplc="34F61CDC" w:tentative="1">
      <w:start w:val="1"/>
      <w:numFmt w:val="bullet"/>
      <w:lvlText w:val="•"/>
      <w:lvlJc w:val="left"/>
      <w:pPr>
        <w:tabs>
          <w:tab w:val="num" w:pos="1440"/>
        </w:tabs>
        <w:ind w:left="1440" w:hanging="360"/>
      </w:pPr>
      <w:rPr>
        <w:rFonts w:ascii="Arial" w:hAnsi="Arial" w:hint="default"/>
      </w:rPr>
    </w:lvl>
    <w:lvl w:ilvl="2" w:tplc="6660FB14" w:tentative="1">
      <w:start w:val="1"/>
      <w:numFmt w:val="bullet"/>
      <w:lvlText w:val="•"/>
      <w:lvlJc w:val="left"/>
      <w:pPr>
        <w:tabs>
          <w:tab w:val="num" w:pos="2160"/>
        </w:tabs>
        <w:ind w:left="2160" w:hanging="360"/>
      </w:pPr>
      <w:rPr>
        <w:rFonts w:ascii="Arial" w:hAnsi="Arial" w:hint="default"/>
      </w:rPr>
    </w:lvl>
    <w:lvl w:ilvl="3" w:tplc="D17AB3D2" w:tentative="1">
      <w:start w:val="1"/>
      <w:numFmt w:val="bullet"/>
      <w:lvlText w:val="•"/>
      <w:lvlJc w:val="left"/>
      <w:pPr>
        <w:tabs>
          <w:tab w:val="num" w:pos="2880"/>
        </w:tabs>
        <w:ind w:left="2880" w:hanging="360"/>
      </w:pPr>
      <w:rPr>
        <w:rFonts w:ascii="Arial" w:hAnsi="Arial" w:hint="default"/>
      </w:rPr>
    </w:lvl>
    <w:lvl w:ilvl="4" w:tplc="00DEBD34" w:tentative="1">
      <w:start w:val="1"/>
      <w:numFmt w:val="bullet"/>
      <w:lvlText w:val="•"/>
      <w:lvlJc w:val="left"/>
      <w:pPr>
        <w:tabs>
          <w:tab w:val="num" w:pos="3600"/>
        </w:tabs>
        <w:ind w:left="3600" w:hanging="360"/>
      </w:pPr>
      <w:rPr>
        <w:rFonts w:ascii="Arial" w:hAnsi="Arial" w:hint="default"/>
      </w:rPr>
    </w:lvl>
    <w:lvl w:ilvl="5" w:tplc="28BC32F0" w:tentative="1">
      <w:start w:val="1"/>
      <w:numFmt w:val="bullet"/>
      <w:lvlText w:val="•"/>
      <w:lvlJc w:val="left"/>
      <w:pPr>
        <w:tabs>
          <w:tab w:val="num" w:pos="4320"/>
        </w:tabs>
        <w:ind w:left="4320" w:hanging="360"/>
      </w:pPr>
      <w:rPr>
        <w:rFonts w:ascii="Arial" w:hAnsi="Arial" w:hint="default"/>
      </w:rPr>
    </w:lvl>
    <w:lvl w:ilvl="6" w:tplc="7082C55C" w:tentative="1">
      <w:start w:val="1"/>
      <w:numFmt w:val="bullet"/>
      <w:lvlText w:val="•"/>
      <w:lvlJc w:val="left"/>
      <w:pPr>
        <w:tabs>
          <w:tab w:val="num" w:pos="5040"/>
        </w:tabs>
        <w:ind w:left="5040" w:hanging="360"/>
      </w:pPr>
      <w:rPr>
        <w:rFonts w:ascii="Arial" w:hAnsi="Arial" w:hint="default"/>
      </w:rPr>
    </w:lvl>
    <w:lvl w:ilvl="7" w:tplc="E4E230C8" w:tentative="1">
      <w:start w:val="1"/>
      <w:numFmt w:val="bullet"/>
      <w:lvlText w:val="•"/>
      <w:lvlJc w:val="left"/>
      <w:pPr>
        <w:tabs>
          <w:tab w:val="num" w:pos="5760"/>
        </w:tabs>
        <w:ind w:left="5760" w:hanging="360"/>
      </w:pPr>
      <w:rPr>
        <w:rFonts w:ascii="Arial" w:hAnsi="Arial" w:hint="default"/>
      </w:rPr>
    </w:lvl>
    <w:lvl w:ilvl="8" w:tplc="D32020B2"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330045C4"/>
    <w:multiLevelType w:val="hybridMultilevel"/>
    <w:tmpl w:val="81AE76FE"/>
    <w:lvl w:ilvl="0" w:tplc="DA988250">
      <w:start w:val="1"/>
      <w:numFmt w:val="lowerRoman"/>
      <w:lvlText w:val="%1."/>
      <w:lvlJc w:val="right"/>
      <w:pPr>
        <w:ind w:left="1080" w:hanging="360"/>
      </w:pPr>
    </w:lvl>
    <w:lvl w:ilvl="1" w:tplc="AB18551C" w:tentative="1">
      <w:start w:val="1"/>
      <w:numFmt w:val="lowerLetter"/>
      <w:lvlText w:val="%2."/>
      <w:lvlJc w:val="left"/>
      <w:pPr>
        <w:ind w:left="1800" w:hanging="360"/>
      </w:pPr>
    </w:lvl>
    <w:lvl w:ilvl="2" w:tplc="8884AD7A" w:tentative="1">
      <w:start w:val="1"/>
      <w:numFmt w:val="lowerRoman"/>
      <w:lvlText w:val="%3."/>
      <w:lvlJc w:val="right"/>
      <w:pPr>
        <w:ind w:left="2520" w:hanging="180"/>
      </w:pPr>
    </w:lvl>
    <w:lvl w:ilvl="3" w:tplc="BCFEEAE2" w:tentative="1">
      <w:start w:val="1"/>
      <w:numFmt w:val="decimal"/>
      <w:lvlText w:val="%4."/>
      <w:lvlJc w:val="left"/>
      <w:pPr>
        <w:ind w:left="3240" w:hanging="360"/>
      </w:pPr>
    </w:lvl>
    <w:lvl w:ilvl="4" w:tplc="5F98BC9C" w:tentative="1">
      <w:start w:val="1"/>
      <w:numFmt w:val="lowerLetter"/>
      <w:lvlText w:val="%5."/>
      <w:lvlJc w:val="left"/>
      <w:pPr>
        <w:ind w:left="3960" w:hanging="360"/>
      </w:pPr>
    </w:lvl>
    <w:lvl w:ilvl="5" w:tplc="30046F12" w:tentative="1">
      <w:start w:val="1"/>
      <w:numFmt w:val="lowerRoman"/>
      <w:lvlText w:val="%6."/>
      <w:lvlJc w:val="right"/>
      <w:pPr>
        <w:ind w:left="4680" w:hanging="180"/>
      </w:pPr>
    </w:lvl>
    <w:lvl w:ilvl="6" w:tplc="623E79D2" w:tentative="1">
      <w:start w:val="1"/>
      <w:numFmt w:val="decimal"/>
      <w:lvlText w:val="%7."/>
      <w:lvlJc w:val="left"/>
      <w:pPr>
        <w:ind w:left="5400" w:hanging="360"/>
      </w:pPr>
    </w:lvl>
    <w:lvl w:ilvl="7" w:tplc="EC88C3DA" w:tentative="1">
      <w:start w:val="1"/>
      <w:numFmt w:val="lowerLetter"/>
      <w:lvlText w:val="%8."/>
      <w:lvlJc w:val="left"/>
      <w:pPr>
        <w:ind w:left="6120" w:hanging="360"/>
      </w:pPr>
    </w:lvl>
    <w:lvl w:ilvl="8" w:tplc="3A227D96" w:tentative="1">
      <w:start w:val="1"/>
      <w:numFmt w:val="lowerRoman"/>
      <w:lvlText w:val="%9."/>
      <w:lvlJc w:val="right"/>
      <w:pPr>
        <w:ind w:left="6840" w:hanging="180"/>
      </w:pPr>
    </w:lvl>
  </w:abstractNum>
  <w:abstractNum w:abstractNumId="167" w15:restartNumberingAfterBreak="0">
    <w:nsid w:val="33057D95"/>
    <w:multiLevelType w:val="hybridMultilevel"/>
    <w:tmpl w:val="1FD6B486"/>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68" w15:restartNumberingAfterBreak="0">
    <w:nsid w:val="335C1705"/>
    <w:multiLevelType w:val="multilevel"/>
    <w:tmpl w:val="AE884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39A5DCE"/>
    <w:multiLevelType w:val="multilevel"/>
    <w:tmpl w:val="C1F68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340903E2"/>
    <w:multiLevelType w:val="multilevel"/>
    <w:tmpl w:val="3D36ACF2"/>
    <w:lvl w:ilvl="0">
      <w:start w:val="1"/>
      <w:numFmt w:val="decimal"/>
      <w:lvlText w:val="%1"/>
      <w:lvlJc w:val="left"/>
      <w:pPr>
        <w:ind w:left="993" w:hanging="540"/>
      </w:pPr>
      <w:rPr>
        <w:rFonts w:hint="default"/>
      </w:rPr>
    </w:lvl>
    <w:lvl w:ilvl="1">
      <w:start w:val="1"/>
      <w:numFmt w:val="decimal"/>
      <w:lvlText w:val="4.%2"/>
      <w:lvlJc w:val="left"/>
      <w:pPr>
        <w:ind w:left="993" w:hanging="540"/>
      </w:pPr>
      <w:rPr>
        <w:rFonts w:hint="default"/>
      </w:rPr>
    </w:lvl>
    <w:lvl w:ilvl="2">
      <w:start w:val="1"/>
      <w:numFmt w:val="decimal"/>
      <w:lvlText w:val="%1.%2.%3"/>
      <w:lvlJc w:val="left"/>
      <w:pPr>
        <w:ind w:left="1173" w:hanging="720"/>
      </w:pPr>
      <w:rPr>
        <w:rFonts w:hint="default"/>
      </w:rPr>
    </w:lvl>
    <w:lvl w:ilvl="3">
      <w:start w:val="1"/>
      <w:numFmt w:val="decimal"/>
      <w:lvlText w:val="%1.%2.%3.%4"/>
      <w:lvlJc w:val="left"/>
      <w:pPr>
        <w:ind w:left="1173" w:hanging="720"/>
      </w:pPr>
      <w:rPr>
        <w:rFonts w:hint="default"/>
      </w:rPr>
    </w:lvl>
    <w:lvl w:ilvl="4">
      <w:start w:val="1"/>
      <w:numFmt w:val="decimal"/>
      <w:lvlText w:val="%1.%2.%3.%4.%5"/>
      <w:lvlJc w:val="left"/>
      <w:pPr>
        <w:ind w:left="1533" w:hanging="1080"/>
      </w:pPr>
      <w:rPr>
        <w:rFonts w:hint="default"/>
      </w:rPr>
    </w:lvl>
    <w:lvl w:ilvl="5">
      <w:start w:val="1"/>
      <w:numFmt w:val="decimal"/>
      <w:lvlText w:val="%1.%2.%3.%4.%5.%6"/>
      <w:lvlJc w:val="left"/>
      <w:pPr>
        <w:ind w:left="1533" w:hanging="1080"/>
      </w:pPr>
      <w:rPr>
        <w:rFonts w:hint="default"/>
      </w:rPr>
    </w:lvl>
    <w:lvl w:ilvl="6">
      <w:start w:val="1"/>
      <w:numFmt w:val="decimal"/>
      <w:lvlText w:val="%1.%2.%3.%4.%5.%6.%7"/>
      <w:lvlJc w:val="left"/>
      <w:pPr>
        <w:ind w:left="1893" w:hanging="1440"/>
      </w:pPr>
      <w:rPr>
        <w:rFonts w:hint="default"/>
      </w:rPr>
    </w:lvl>
    <w:lvl w:ilvl="7">
      <w:start w:val="1"/>
      <w:numFmt w:val="decimal"/>
      <w:lvlText w:val="%1.%2.%3.%4.%5.%6.%7.%8"/>
      <w:lvlJc w:val="left"/>
      <w:pPr>
        <w:ind w:left="1893" w:hanging="1440"/>
      </w:pPr>
      <w:rPr>
        <w:rFonts w:hint="default"/>
      </w:rPr>
    </w:lvl>
    <w:lvl w:ilvl="8">
      <w:start w:val="1"/>
      <w:numFmt w:val="decimal"/>
      <w:lvlText w:val="%1.%2.%3.%4.%5.%6.%7.%8.%9"/>
      <w:lvlJc w:val="left"/>
      <w:pPr>
        <w:ind w:left="1893" w:hanging="1440"/>
      </w:pPr>
      <w:rPr>
        <w:rFonts w:hint="default"/>
      </w:rPr>
    </w:lvl>
  </w:abstractNum>
  <w:abstractNum w:abstractNumId="171" w15:restartNumberingAfterBreak="0">
    <w:nsid w:val="34D178E7"/>
    <w:multiLevelType w:val="multilevel"/>
    <w:tmpl w:val="1BDC5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35401EEE"/>
    <w:multiLevelType w:val="hybridMultilevel"/>
    <w:tmpl w:val="CE923CB4"/>
    <w:lvl w:ilvl="0" w:tplc="A05EA41E">
      <w:start w:val="1"/>
      <w:numFmt w:val="decimal"/>
      <w:lvlText w:val="%1."/>
      <w:lvlJc w:val="left"/>
      <w:pPr>
        <w:ind w:left="720" w:hanging="360"/>
      </w:pPr>
      <w:rPr>
        <w:rFonts w:hint="default"/>
      </w:rPr>
    </w:lvl>
    <w:lvl w:ilvl="1" w:tplc="934A2512" w:tentative="1">
      <w:start w:val="1"/>
      <w:numFmt w:val="lowerLetter"/>
      <w:lvlText w:val="%2."/>
      <w:lvlJc w:val="left"/>
      <w:pPr>
        <w:ind w:left="1440" w:hanging="360"/>
      </w:pPr>
    </w:lvl>
    <w:lvl w:ilvl="2" w:tplc="99445D90" w:tentative="1">
      <w:start w:val="1"/>
      <w:numFmt w:val="lowerRoman"/>
      <w:lvlText w:val="%3."/>
      <w:lvlJc w:val="right"/>
      <w:pPr>
        <w:ind w:left="2160" w:hanging="180"/>
      </w:pPr>
    </w:lvl>
    <w:lvl w:ilvl="3" w:tplc="D90E874A" w:tentative="1">
      <w:start w:val="1"/>
      <w:numFmt w:val="decimal"/>
      <w:lvlText w:val="%4."/>
      <w:lvlJc w:val="left"/>
      <w:pPr>
        <w:ind w:left="2880" w:hanging="360"/>
      </w:pPr>
    </w:lvl>
    <w:lvl w:ilvl="4" w:tplc="86E0A9D2" w:tentative="1">
      <w:start w:val="1"/>
      <w:numFmt w:val="lowerLetter"/>
      <w:lvlText w:val="%5."/>
      <w:lvlJc w:val="left"/>
      <w:pPr>
        <w:ind w:left="3600" w:hanging="360"/>
      </w:pPr>
    </w:lvl>
    <w:lvl w:ilvl="5" w:tplc="87566E10" w:tentative="1">
      <w:start w:val="1"/>
      <w:numFmt w:val="lowerRoman"/>
      <w:lvlText w:val="%6."/>
      <w:lvlJc w:val="right"/>
      <w:pPr>
        <w:ind w:left="4320" w:hanging="180"/>
      </w:pPr>
    </w:lvl>
    <w:lvl w:ilvl="6" w:tplc="C838CA90" w:tentative="1">
      <w:start w:val="1"/>
      <w:numFmt w:val="decimal"/>
      <w:lvlText w:val="%7."/>
      <w:lvlJc w:val="left"/>
      <w:pPr>
        <w:ind w:left="5040" w:hanging="360"/>
      </w:pPr>
    </w:lvl>
    <w:lvl w:ilvl="7" w:tplc="8532632E" w:tentative="1">
      <w:start w:val="1"/>
      <w:numFmt w:val="lowerLetter"/>
      <w:lvlText w:val="%8."/>
      <w:lvlJc w:val="left"/>
      <w:pPr>
        <w:ind w:left="5760" w:hanging="360"/>
      </w:pPr>
    </w:lvl>
    <w:lvl w:ilvl="8" w:tplc="618CBB04" w:tentative="1">
      <w:start w:val="1"/>
      <w:numFmt w:val="lowerRoman"/>
      <w:lvlText w:val="%9."/>
      <w:lvlJc w:val="right"/>
      <w:pPr>
        <w:ind w:left="6480" w:hanging="180"/>
      </w:pPr>
    </w:lvl>
  </w:abstractNum>
  <w:abstractNum w:abstractNumId="173" w15:restartNumberingAfterBreak="0">
    <w:nsid w:val="35972932"/>
    <w:multiLevelType w:val="multilevel"/>
    <w:tmpl w:val="22B61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366629CC"/>
    <w:multiLevelType w:val="multilevel"/>
    <w:tmpl w:val="6C80F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6882F2C"/>
    <w:multiLevelType w:val="hybridMultilevel"/>
    <w:tmpl w:val="B3AC81B0"/>
    <w:lvl w:ilvl="0" w:tplc="4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77" w15:restartNumberingAfterBreak="0">
    <w:nsid w:val="36BA4E1E"/>
    <w:multiLevelType w:val="multilevel"/>
    <w:tmpl w:val="5B3A19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8" w15:restartNumberingAfterBreak="0">
    <w:nsid w:val="36BD3B71"/>
    <w:multiLevelType w:val="hybridMultilevel"/>
    <w:tmpl w:val="CE9EF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36CC6420"/>
    <w:multiLevelType w:val="hybridMultilevel"/>
    <w:tmpl w:val="6EB4683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0" w15:restartNumberingAfterBreak="0">
    <w:nsid w:val="36D30310"/>
    <w:multiLevelType w:val="multilevel"/>
    <w:tmpl w:val="6DE68CF0"/>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1" w15:restartNumberingAfterBreak="0">
    <w:nsid w:val="36DF4A67"/>
    <w:multiLevelType w:val="hybridMultilevel"/>
    <w:tmpl w:val="069262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3834715B"/>
    <w:multiLevelType w:val="hybridMultilevel"/>
    <w:tmpl w:val="A43C2904"/>
    <w:lvl w:ilvl="0" w:tplc="0F7C42F2">
      <w:start w:val="1"/>
      <w:numFmt w:val="lowerRoman"/>
      <w:lvlText w:val="%1."/>
      <w:lvlJc w:val="right"/>
      <w:pPr>
        <w:ind w:left="720" w:hanging="360"/>
      </w:pPr>
    </w:lvl>
    <w:lvl w:ilvl="1" w:tplc="8C38B45E" w:tentative="1">
      <w:start w:val="1"/>
      <w:numFmt w:val="lowerLetter"/>
      <w:lvlText w:val="%2."/>
      <w:lvlJc w:val="left"/>
      <w:pPr>
        <w:ind w:left="1440" w:hanging="360"/>
      </w:pPr>
    </w:lvl>
    <w:lvl w:ilvl="2" w:tplc="0D2EFCBA" w:tentative="1">
      <w:start w:val="1"/>
      <w:numFmt w:val="lowerRoman"/>
      <w:lvlText w:val="%3."/>
      <w:lvlJc w:val="right"/>
      <w:pPr>
        <w:ind w:left="2160" w:hanging="180"/>
      </w:pPr>
    </w:lvl>
    <w:lvl w:ilvl="3" w:tplc="2FD677CA" w:tentative="1">
      <w:start w:val="1"/>
      <w:numFmt w:val="decimal"/>
      <w:lvlText w:val="%4."/>
      <w:lvlJc w:val="left"/>
      <w:pPr>
        <w:ind w:left="2880" w:hanging="360"/>
      </w:pPr>
    </w:lvl>
    <w:lvl w:ilvl="4" w:tplc="E862880C" w:tentative="1">
      <w:start w:val="1"/>
      <w:numFmt w:val="lowerLetter"/>
      <w:lvlText w:val="%5."/>
      <w:lvlJc w:val="left"/>
      <w:pPr>
        <w:ind w:left="3600" w:hanging="360"/>
      </w:pPr>
    </w:lvl>
    <w:lvl w:ilvl="5" w:tplc="A5CAC24C" w:tentative="1">
      <w:start w:val="1"/>
      <w:numFmt w:val="lowerRoman"/>
      <w:lvlText w:val="%6."/>
      <w:lvlJc w:val="right"/>
      <w:pPr>
        <w:ind w:left="4320" w:hanging="180"/>
      </w:pPr>
    </w:lvl>
    <w:lvl w:ilvl="6" w:tplc="719CCD6C" w:tentative="1">
      <w:start w:val="1"/>
      <w:numFmt w:val="decimal"/>
      <w:lvlText w:val="%7."/>
      <w:lvlJc w:val="left"/>
      <w:pPr>
        <w:ind w:left="5040" w:hanging="360"/>
      </w:pPr>
    </w:lvl>
    <w:lvl w:ilvl="7" w:tplc="4CAA96A6" w:tentative="1">
      <w:start w:val="1"/>
      <w:numFmt w:val="lowerLetter"/>
      <w:lvlText w:val="%8."/>
      <w:lvlJc w:val="left"/>
      <w:pPr>
        <w:ind w:left="5760" w:hanging="360"/>
      </w:pPr>
    </w:lvl>
    <w:lvl w:ilvl="8" w:tplc="C826F90E" w:tentative="1">
      <w:start w:val="1"/>
      <w:numFmt w:val="lowerRoman"/>
      <w:lvlText w:val="%9."/>
      <w:lvlJc w:val="right"/>
      <w:pPr>
        <w:ind w:left="6480" w:hanging="180"/>
      </w:pPr>
    </w:lvl>
  </w:abstractNum>
  <w:abstractNum w:abstractNumId="183" w15:restartNumberingAfterBreak="0">
    <w:nsid w:val="38932D9E"/>
    <w:multiLevelType w:val="multilevel"/>
    <w:tmpl w:val="9C86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39217512"/>
    <w:multiLevelType w:val="multilevel"/>
    <w:tmpl w:val="03AAE5E4"/>
    <w:lvl w:ilvl="0">
      <w:start w:val="2"/>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5" w15:restartNumberingAfterBreak="0">
    <w:nsid w:val="39A2298F"/>
    <w:multiLevelType w:val="multilevel"/>
    <w:tmpl w:val="3D0441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6" w15:restartNumberingAfterBreak="0">
    <w:nsid w:val="39F52D32"/>
    <w:multiLevelType w:val="multilevel"/>
    <w:tmpl w:val="40EC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3A545FCA"/>
    <w:multiLevelType w:val="multilevel"/>
    <w:tmpl w:val="3926D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3A562A06"/>
    <w:multiLevelType w:val="multilevel"/>
    <w:tmpl w:val="3A562A0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3A6D1A83"/>
    <w:multiLevelType w:val="hybridMultilevel"/>
    <w:tmpl w:val="B738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3B2E11E7"/>
    <w:multiLevelType w:val="hybridMultilevel"/>
    <w:tmpl w:val="1352A66C"/>
    <w:lvl w:ilvl="0" w:tplc="4FC46CB2">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1" w15:restartNumberingAfterBreak="0">
    <w:nsid w:val="3BB54712"/>
    <w:multiLevelType w:val="multilevel"/>
    <w:tmpl w:val="6D3E5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3BD50C50"/>
    <w:multiLevelType w:val="multilevel"/>
    <w:tmpl w:val="BB52DB5E"/>
    <w:lvl w:ilvl="0">
      <w:start w:val="1"/>
      <w:numFmt w:val="decimal"/>
      <w:lvlText w:val="%1"/>
      <w:lvlJc w:val="left"/>
      <w:pPr>
        <w:ind w:left="1017" w:hanging="432"/>
      </w:pPr>
      <w:rPr>
        <w:rFonts w:ascii="Times New Roman" w:eastAsia="Times New Roman" w:hAnsi="Times New Roman" w:cs="Times New Roman" w:hint="default"/>
        <w:b/>
        <w:bCs/>
        <w:i w:val="0"/>
        <w:iCs w:val="0"/>
        <w:w w:val="99"/>
        <w:sz w:val="28"/>
        <w:szCs w:val="28"/>
        <w:lang w:val="en-US" w:eastAsia="en-US" w:bidi="ar-SA"/>
      </w:rPr>
    </w:lvl>
    <w:lvl w:ilvl="1">
      <w:start w:val="1"/>
      <w:numFmt w:val="decimal"/>
      <w:lvlText w:val="%1.%2"/>
      <w:lvlJc w:val="left"/>
      <w:pPr>
        <w:ind w:left="1161" w:hanging="576"/>
      </w:pPr>
      <w:rPr>
        <w:rFonts w:ascii="Times New Roman" w:eastAsia="Times New Roman" w:hAnsi="Times New Roman" w:cs="Times New Roman" w:hint="default"/>
        <w:b/>
        <w:bCs/>
        <w:i w:val="0"/>
        <w:iCs w:val="0"/>
        <w:w w:val="100"/>
        <w:sz w:val="24"/>
        <w:szCs w:val="24"/>
        <w:lang w:val="en-US" w:eastAsia="en-US" w:bidi="ar-SA"/>
      </w:rPr>
    </w:lvl>
    <w:lvl w:ilvl="2">
      <w:numFmt w:val="bullet"/>
      <w:lvlText w:val="•"/>
      <w:lvlJc w:val="left"/>
      <w:pPr>
        <w:ind w:left="2138" w:hanging="576"/>
      </w:pPr>
      <w:rPr>
        <w:rFonts w:hint="default"/>
        <w:lang w:val="en-US" w:eastAsia="en-US" w:bidi="ar-SA"/>
      </w:rPr>
    </w:lvl>
    <w:lvl w:ilvl="3">
      <w:numFmt w:val="bullet"/>
      <w:lvlText w:val="•"/>
      <w:lvlJc w:val="left"/>
      <w:pPr>
        <w:ind w:left="3116" w:hanging="576"/>
      </w:pPr>
      <w:rPr>
        <w:rFonts w:hint="default"/>
        <w:lang w:val="en-US" w:eastAsia="en-US" w:bidi="ar-SA"/>
      </w:rPr>
    </w:lvl>
    <w:lvl w:ilvl="4">
      <w:numFmt w:val="bullet"/>
      <w:lvlText w:val="•"/>
      <w:lvlJc w:val="left"/>
      <w:pPr>
        <w:ind w:left="4094" w:hanging="576"/>
      </w:pPr>
      <w:rPr>
        <w:rFonts w:hint="default"/>
        <w:lang w:val="en-US" w:eastAsia="en-US" w:bidi="ar-SA"/>
      </w:rPr>
    </w:lvl>
    <w:lvl w:ilvl="5">
      <w:numFmt w:val="bullet"/>
      <w:lvlText w:val="•"/>
      <w:lvlJc w:val="left"/>
      <w:pPr>
        <w:ind w:left="5072" w:hanging="576"/>
      </w:pPr>
      <w:rPr>
        <w:rFonts w:hint="default"/>
        <w:lang w:val="en-US" w:eastAsia="en-US" w:bidi="ar-SA"/>
      </w:rPr>
    </w:lvl>
    <w:lvl w:ilvl="6">
      <w:numFmt w:val="bullet"/>
      <w:lvlText w:val="•"/>
      <w:lvlJc w:val="left"/>
      <w:pPr>
        <w:ind w:left="6051" w:hanging="576"/>
      </w:pPr>
      <w:rPr>
        <w:rFonts w:hint="default"/>
        <w:lang w:val="en-US" w:eastAsia="en-US" w:bidi="ar-SA"/>
      </w:rPr>
    </w:lvl>
    <w:lvl w:ilvl="7">
      <w:numFmt w:val="bullet"/>
      <w:lvlText w:val="•"/>
      <w:lvlJc w:val="left"/>
      <w:pPr>
        <w:ind w:left="7029" w:hanging="576"/>
      </w:pPr>
      <w:rPr>
        <w:rFonts w:hint="default"/>
        <w:lang w:val="en-US" w:eastAsia="en-US" w:bidi="ar-SA"/>
      </w:rPr>
    </w:lvl>
    <w:lvl w:ilvl="8">
      <w:numFmt w:val="bullet"/>
      <w:lvlText w:val="•"/>
      <w:lvlJc w:val="left"/>
      <w:pPr>
        <w:ind w:left="8007" w:hanging="576"/>
      </w:pPr>
      <w:rPr>
        <w:rFonts w:hint="default"/>
        <w:lang w:val="en-US" w:eastAsia="en-US" w:bidi="ar-SA"/>
      </w:rPr>
    </w:lvl>
  </w:abstractNum>
  <w:abstractNum w:abstractNumId="193" w15:restartNumberingAfterBreak="0">
    <w:nsid w:val="3C5D0C07"/>
    <w:multiLevelType w:val="multilevel"/>
    <w:tmpl w:val="3C5D0C07"/>
    <w:lvl w:ilvl="0">
      <w:start w:val="1"/>
      <w:numFmt w:val="decimal"/>
      <w:pStyle w:val="Numberedlist"/>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4" w15:restartNumberingAfterBreak="0">
    <w:nsid w:val="3CB80FC6"/>
    <w:multiLevelType w:val="hybridMultilevel"/>
    <w:tmpl w:val="B4140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3E101E18"/>
    <w:multiLevelType w:val="multilevel"/>
    <w:tmpl w:val="4AA0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3E7B3A1F"/>
    <w:multiLevelType w:val="multilevel"/>
    <w:tmpl w:val="F33859D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7" w15:restartNumberingAfterBreak="0">
    <w:nsid w:val="3EE927A3"/>
    <w:multiLevelType w:val="multilevel"/>
    <w:tmpl w:val="3EE927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8" w15:restartNumberingAfterBreak="0">
    <w:nsid w:val="3F461D5E"/>
    <w:multiLevelType w:val="hybridMultilevel"/>
    <w:tmpl w:val="C70C9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3FA2586C"/>
    <w:multiLevelType w:val="hybridMultilevel"/>
    <w:tmpl w:val="ECE470BC"/>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00" w15:restartNumberingAfterBreak="0">
    <w:nsid w:val="3FC4091F"/>
    <w:multiLevelType w:val="multilevel"/>
    <w:tmpl w:val="4FA01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01D508B"/>
    <w:multiLevelType w:val="multilevel"/>
    <w:tmpl w:val="57F4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07A41EF"/>
    <w:multiLevelType w:val="multilevel"/>
    <w:tmpl w:val="5582D77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40914EC6"/>
    <w:multiLevelType w:val="hybridMultilevel"/>
    <w:tmpl w:val="0BEE2CD2"/>
    <w:lvl w:ilvl="0" w:tplc="4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40C871B9"/>
    <w:multiLevelType w:val="hybridMultilevel"/>
    <w:tmpl w:val="9F0CF58E"/>
    <w:lvl w:ilvl="0" w:tplc="3F5ABB28">
      <w:start w:val="2"/>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5" w15:restartNumberingAfterBreak="0">
    <w:nsid w:val="41506B61"/>
    <w:multiLevelType w:val="hybridMultilevel"/>
    <w:tmpl w:val="32D2FDBC"/>
    <w:lvl w:ilvl="0" w:tplc="44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417D2002"/>
    <w:multiLevelType w:val="multilevel"/>
    <w:tmpl w:val="4A54C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7" w15:restartNumberingAfterBreak="0">
    <w:nsid w:val="421E39C7"/>
    <w:multiLevelType w:val="hybridMultilevel"/>
    <w:tmpl w:val="FEAA89C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8" w15:restartNumberingAfterBreak="0">
    <w:nsid w:val="427548B9"/>
    <w:multiLevelType w:val="hybridMultilevel"/>
    <w:tmpl w:val="CE923CB4"/>
    <w:lvl w:ilvl="0" w:tplc="CBE25A5E">
      <w:start w:val="1"/>
      <w:numFmt w:val="decimal"/>
      <w:lvlText w:val="%1."/>
      <w:lvlJc w:val="left"/>
      <w:pPr>
        <w:ind w:left="720" w:hanging="360"/>
      </w:pPr>
      <w:rPr>
        <w:rFonts w:hint="default"/>
      </w:rPr>
    </w:lvl>
    <w:lvl w:ilvl="1" w:tplc="2E643BA8" w:tentative="1">
      <w:start w:val="1"/>
      <w:numFmt w:val="lowerLetter"/>
      <w:lvlText w:val="%2."/>
      <w:lvlJc w:val="left"/>
      <w:pPr>
        <w:ind w:left="1440" w:hanging="360"/>
      </w:pPr>
    </w:lvl>
    <w:lvl w:ilvl="2" w:tplc="0E289626" w:tentative="1">
      <w:start w:val="1"/>
      <w:numFmt w:val="lowerRoman"/>
      <w:lvlText w:val="%3."/>
      <w:lvlJc w:val="right"/>
      <w:pPr>
        <w:ind w:left="2160" w:hanging="180"/>
      </w:pPr>
    </w:lvl>
    <w:lvl w:ilvl="3" w:tplc="D6725EB4" w:tentative="1">
      <w:start w:val="1"/>
      <w:numFmt w:val="decimal"/>
      <w:lvlText w:val="%4."/>
      <w:lvlJc w:val="left"/>
      <w:pPr>
        <w:ind w:left="2880" w:hanging="360"/>
      </w:pPr>
    </w:lvl>
    <w:lvl w:ilvl="4" w:tplc="9762173C" w:tentative="1">
      <w:start w:val="1"/>
      <w:numFmt w:val="lowerLetter"/>
      <w:lvlText w:val="%5."/>
      <w:lvlJc w:val="left"/>
      <w:pPr>
        <w:ind w:left="3600" w:hanging="360"/>
      </w:pPr>
    </w:lvl>
    <w:lvl w:ilvl="5" w:tplc="AB6A955E" w:tentative="1">
      <w:start w:val="1"/>
      <w:numFmt w:val="lowerRoman"/>
      <w:lvlText w:val="%6."/>
      <w:lvlJc w:val="right"/>
      <w:pPr>
        <w:ind w:left="4320" w:hanging="180"/>
      </w:pPr>
    </w:lvl>
    <w:lvl w:ilvl="6" w:tplc="C33A152A" w:tentative="1">
      <w:start w:val="1"/>
      <w:numFmt w:val="decimal"/>
      <w:lvlText w:val="%7."/>
      <w:lvlJc w:val="left"/>
      <w:pPr>
        <w:ind w:left="5040" w:hanging="360"/>
      </w:pPr>
    </w:lvl>
    <w:lvl w:ilvl="7" w:tplc="3B7A3772" w:tentative="1">
      <w:start w:val="1"/>
      <w:numFmt w:val="lowerLetter"/>
      <w:lvlText w:val="%8."/>
      <w:lvlJc w:val="left"/>
      <w:pPr>
        <w:ind w:left="5760" w:hanging="360"/>
      </w:pPr>
    </w:lvl>
    <w:lvl w:ilvl="8" w:tplc="8976F104" w:tentative="1">
      <w:start w:val="1"/>
      <w:numFmt w:val="lowerRoman"/>
      <w:lvlText w:val="%9."/>
      <w:lvlJc w:val="right"/>
      <w:pPr>
        <w:ind w:left="6480" w:hanging="180"/>
      </w:pPr>
    </w:lvl>
  </w:abstractNum>
  <w:abstractNum w:abstractNumId="209" w15:restartNumberingAfterBreak="0">
    <w:nsid w:val="42B42582"/>
    <w:multiLevelType w:val="hybridMultilevel"/>
    <w:tmpl w:val="3FA867AA"/>
    <w:lvl w:ilvl="0" w:tplc="4409000F">
      <w:start w:val="1"/>
      <w:numFmt w:val="decimal"/>
      <w:lvlText w:val="%1."/>
      <w:lvlJc w:val="left"/>
      <w:pPr>
        <w:ind w:left="720" w:hanging="360"/>
      </w:pPr>
    </w:lvl>
    <w:lvl w:ilvl="1" w:tplc="7D3E4042">
      <w:numFmt w:val="bullet"/>
      <w:lvlText w:val="-"/>
      <w:lvlJc w:val="left"/>
      <w:pPr>
        <w:ind w:left="1440" w:hanging="360"/>
      </w:pPr>
      <w:rPr>
        <w:rFonts w:ascii="Cambria" w:eastAsia="Arial" w:hAnsi="Cambria" w:cs="Arial"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0" w15:restartNumberingAfterBreak="0">
    <w:nsid w:val="42ED39C7"/>
    <w:multiLevelType w:val="hybridMultilevel"/>
    <w:tmpl w:val="60AC4184"/>
    <w:lvl w:ilvl="0" w:tplc="F0244308">
      <w:start w:val="1"/>
      <w:numFmt w:val="decimal"/>
      <w:lvlText w:val="%1."/>
      <w:lvlJc w:val="left"/>
      <w:pPr>
        <w:ind w:left="720" w:hanging="360"/>
      </w:pPr>
      <w:rPr>
        <w:rFonts w:hint="default"/>
        <w:b/>
      </w:rPr>
    </w:lvl>
    <w:lvl w:ilvl="1" w:tplc="DE2CEC30" w:tentative="1">
      <w:start w:val="1"/>
      <w:numFmt w:val="lowerLetter"/>
      <w:lvlText w:val="%2."/>
      <w:lvlJc w:val="left"/>
      <w:pPr>
        <w:ind w:left="1440" w:hanging="360"/>
      </w:pPr>
    </w:lvl>
    <w:lvl w:ilvl="2" w:tplc="B0EE36BA" w:tentative="1">
      <w:start w:val="1"/>
      <w:numFmt w:val="lowerRoman"/>
      <w:lvlText w:val="%3."/>
      <w:lvlJc w:val="right"/>
      <w:pPr>
        <w:ind w:left="2160" w:hanging="180"/>
      </w:pPr>
    </w:lvl>
    <w:lvl w:ilvl="3" w:tplc="ED5456C6" w:tentative="1">
      <w:start w:val="1"/>
      <w:numFmt w:val="decimal"/>
      <w:lvlText w:val="%4."/>
      <w:lvlJc w:val="left"/>
      <w:pPr>
        <w:ind w:left="2880" w:hanging="360"/>
      </w:pPr>
    </w:lvl>
    <w:lvl w:ilvl="4" w:tplc="6100A002" w:tentative="1">
      <w:start w:val="1"/>
      <w:numFmt w:val="lowerLetter"/>
      <w:lvlText w:val="%5."/>
      <w:lvlJc w:val="left"/>
      <w:pPr>
        <w:ind w:left="3600" w:hanging="360"/>
      </w:pPr>
    </w:lvl>
    <w:lvl w:ilvl="5" w:tplc="1406A6E2" w:tentative="1">
      <w:start w:val="1"/>
      <w:numFmt w:val="lowerRoman"/>
      <w:lvlText w:val="%6."/>
      <w:lvlJc w:val="right"/>
      <w:pPr>
        <w:ind w:left="4320" w:hanging="180"/>
      </w:pPr>
    </w:lvl>
    <w:lvl w:ilvl="6" w:tplc="B4EEBC04" w:tentative="1">
      <w:start w:val="1"/>
      <w:numFmt w:val="decimal"/>
      <w:lvlText w:val="%7."/>
      <w:lvlJc w:val="left"/>
      <w:pPr>
        <w:ind w:left="5040" w:hanging="360"/>
      </w:pPr>
    </w:lvl>
    <w:lvl w:ilvl="7" w:tplc="70CEF318" w:tentative="1">
      <w:start w:val="1"/>
      <w:numFmt w:val="lowerLetter"/>
      <w:lvlText w:val="%8."/>
      <w:lvlJc w:val="left"/>
      <w:pPr>
        <w:ind w:left="5760" w:hanging="360"/>
      </w:pPr>
    </w:lvl>
    <w:lvl w:ilvl="8" w:tplc="639498E0" w:tentative="1">
      <w:start w:val="1"/>
      <w:numFmt w:val="lowerRoman"/>
      <w:lvlText w:val="%9."/>
      <w:lvlJc w:val="right"/>
      <w:pPr>
        <w:ind w:left="6480" w:hanging="180"/>
      </w:pPr>
    </w:lvl>
  </w:abstractNum>
  <w:abstractNum w:abstractNumId="211" w15:restartNumberingAfterBreak="0">
    <w:nsid w:val="43457106"/>
    <w:multiLevelType w:val="hybridMultilevel"/>
    <w:tmpl w:val="809E989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2" w15:restartNumberingAfterBreak="0">
    <w:nsid w:val="43A4401B"/>
    <w:multiLevelType w:val="multilevel"/>
    <w:tmpl w:val="A0F09882"/>
    <w:lvl w:ilvl="0">
      <w:start w:val="1"/>
      <w:numFmt w:val="decimal"/>
      <w:lvlText w:val="%1"/>
      <w:lvlJc w:val="left"/>
      <w:pPr>
        <w:ind w:left="540" w:hanging="540"/>
      </w:pPr>
      <w:rPr>
        <w:rFonts w:hint="default"/>
      </w:rPr>
    </w:lvl>
    <w:lvl w:ilvl="1">
      <w:start w:val="1"/>
      <w:numFmt w:val="decimal"/>
      <w:lvlText w:val="2.%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3" w15:restartNumberingAfterBreak="0">
    <w:nsid w:val="43C655A6"/>
    <w:multiLevelType w:val="hybridMultilevel"/>
    <w:tmpl w:val="2C262B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44274A9E"/>
    <w:multiLevelType w:val="multilevel"/>
    <w:tmpl w:val="99E8EC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5" w15:restartNumberingAfterBreak="0">
    <w:nsid w:val="442A38A9"/>
    <w:multiLevelType w:val="hybridMultilevel"/>
    <w:tmpl w:val="87344D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44431355"/>
    <w:multiLevelType w:val="hybridMultilevel"/>
    <w:tmpl w:val="F57ACF50"/>
    <w:lvl w:ilvl="0" w:tplc="D280EF12">
      <w:start w:val="1"/>
      <w:numFmt w:val="lowerRoman"/>
      <w:lvlText w:val="(%1)"/>
      <w:lvlJc w:val="left"/>
      <w:pPr>
        <w:ind w:left="780" w:hanging="720"/>
      </w:pPr>
      <w:rPr>
        <w:rFonts w:hint="default"/>
      </w:rPr>
    </w:lvl>
    <w:lvl w:ilvl="1" w:tplc="19BE0400" w:tentative="1">
      <w:start w:val="1"/>
      <w:numFmt w:val="lowerLetter"/>
      <w:lvlText w:val="%2."/>
      <w:lvlJc w:val="left"/>
      <w:pPr>
        <w:ind w:left="1140" w:hanging="360"/>
      </w:pPr>
    </w:lvl>
    <w:lvl w:ilvl="2" w:tplc="CBA62B5C" w:tentative="1">
      <w:start w:val="1"/>
      <w:numFmt w:val="lowerRoman"/>
      <w:lvlText w:val="%3."/>
      <w:lvlJc w:val="right"/>
      <w:pPr>
        <w:ind w:left="1860" w:hanging="180"/>
      </w:pPr>
    </w:lvl>
    <w:lvl w:ilvl="3" w:tplc="E20EDECA" w:tentative="1">
      <w:start w:val="1"/>
      <w:numFmt w:val="decimal"/>
      <w:lvlText w:val="%4."/>
      <w:lvlJc w:val="left"/>
      <w:pPr>
        <w:ind w:left="2580" w:hanging="360"/>
      </w:pPr>
    </w:lvl>
    <w:lvl w:ilvl="4" w:tplc="91C6F322" w:tentative="1">
      <w:start w:val="1"/>
      <w:numFmt w:val="lowerLetter"/>
      <w:lvlText w:val="%5."/>
      <w:lvlJc w:val="left"/>
      <w:pPr>
        <w:ind w:left="3300" w:hanging="360"/>
      </w:pPr>
    </w:lvl>
    <w:lvl w:ilvl="5" w:tplc="EC2E48A6" w:tentative="1">
      <w:start w:val="1"/>
      <w:numFmt w:val="lowerRoman"/>
      <w:lvlText w:val="%6."/>
      <w:lvlJc w:val="right"/>
      <w:pPr>
        <w:ind w:left="4020" w:hanging="180"/>
      </w:pPr>
    </w:lvl>
    <w:lvl w:ilvl="6" w:tplc="5D5E5D46" w:tentative="1">
      <w:start w:val="1"/>
      <w:numFmt w:val="decimal"/>
      <w:lvlText w:val="%7."/>
      <w:lvlJc w:val="left"/>
      <w:pPr>
        <w:ind w:left="4740" w:hanging="360"/>
      </w:pPr>
    </w:lvl>
    <w:lvl w:ilvl="7" w:tplc="BF849CE6" w:tentative="1">
      <w:start w:val="1"/>
      <w:numFmt w:val="lowerLetter"/>
      <w:lvlText w:val="%8."/>
      <w:lvlJc w:val="left"/>
      <w:pPr>
        <w:ind w:left="5460" w:hanging="360"/>
      </w:pPr>
    </w:lvl>
    <w:lvl w:ilvl="8" w:tplc="BFE43BE6" w:tentative="1">
      <w:start w:val="1"/>
      <w:numFmt w:val="lowerRoman"/>
      <w:lvlText w:val="%9."/>
      <w:lvlJc w:val="right"/>
      <w:pPr>
        <w:ind w:left="6180" w:hanging="180"/>
      </w:pPr>
    </w:lvl>
  </w:abstractNum>
  <w:abstractNum w:abstractNumId="217" w15:restartNumberingAfterBreak="0">
    <w:nsid w:val="44D84262"/>
    <w:multiLevelType w:val="multilevel"/>
    <w:tmpl w:val="D29EB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45102931"/>
    <w:multiLevelType w:val="hybridMultilevel"/>
    <w:tmpl w:val="B476B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4618491E"/>
    <w:multiLevelType w:val="multilevel"/>
    <w:tmpl w:val="2F787B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0" w15:restartNumberingAfterBreak="0">
    <w:nsid w:val="46377113"/>
    <w:multiLevelType w:val="hybridMultilevel"/>
    <w:tmpl w:val="593CE99C"/>
    <w:lvl w:ilvl="0" w:tplc="36585028">
      <w:start w:val="1"/>
      <w:numFmt w:val="bullet"/>
      <w:lvlText w:val=""/>
      <w:lvlJc w:val="left"/>
      <w:pPr>
        <w:ind w:left="720" w:hanging="360"/>
      </w:pPr>
      <w:rPr>
        <w:rFonts w:ascii="Wingdings" w:hAnsi="Wingdings" w:hint="default"/>
      </w:rPr>
    </w:lvl>
    <w:lvl w:ilvl="1" w:tplc="6DCA4206" w:tentative="1">
      <w:start w:val="1"/>
      <w:numFmt w:val="bullet"/>
      <w:lvlText w:val="o"/>
      <w:lvlJc w:val="left"/>
      <w:pPr>
        <w:ind w:left="1440" w:hanging="360"/>
      </w:pPr>
      <w:rPr>
        <w:rFonts w:ascii="Courier New" w:hAnsi="Courier New" w:cs="Courier New" w:hint="default"/>
      </w:rPr>
    </w:lvl>
    <w:lvl w:ilvl="2" w:tplc="40185946" w:tentative="1">
      <w:start w:val="1"/>
      <w:numFmt w:val="bullet"/>
      <w:lvlText w:val=""/>
      <w:lvlJc w:val="left"/>
      <w:pPr>
        <w:ind w:left="2160" w:hanging="360"/>
      </w:pPr>
      <w:rPr>
        <w:rFonts w:ascii="Wingdings" w:hAnsi="Wingdings" w:hint="default"/>
      </w:rPr>
    </w:lvl>
    <w:lvl w:ilvl="3" w:tplc="3B3E1E8E" w:tentative="1">
      <w:start w:val="1"/>
      <w:numFmt w:val="bullet"/>
      <w:lvlText w:val=""/>
      <w:lvlJc w:val="left"/>
      <w:pPr>
        <w:ind w:left="2880" w:hanging="360"/>
      </w:pPr>
      <w:rPr>
        <w:rFonts w:ascii="Symbol" w:hAnsi="Symbol" w:hint="default"/>
      </w:rPr>
    </w:lvl>
    <w:lvl w:ilvl="4" w:tplc="6D026692" w:tentative="1">
      <w:start w:val="1"/>
      <w:numFmt w:val="bullet"/>
      <w:lvlText w:val="o"/>
      <w:lvlJc w:val="left"/>
      <w:pPr>
        <w:ind w:left="3600" w:hanging="360"/>
      </w:pPr>
      <w:rPr>
        <w:rFonts w:ascii="Courier New" w:hAnsi="Courier New" w:cs="Courier New" w:hint="default"/>
      </w:rPr>
    </w:lvl>
    <w:lvl w:ilvl="5" w:tplc="50CCF78C" w:tentative="1">
      <w:start w:val="1"/>
      <w:numFmt w:val="bullet"/>
      <w:lvlText w:val=""/>
      <w:lvlJc w:val="left"/>
      <w:pPr>
        <w:ind w:left="4320" w:hanging="360"/>
      </w:pPr>
      <w:rPr>
        <w:rFonts w:ascii="Wingdings" w:hAnsi="Wingdings" w:hint="default"/>
      </w:rPr>
    </w:lvl>
    <w:lvl w:ilvl="6" w:tplc="6290B8FE" w:tentative="1">
      <w:start w:val="1"/>
      <w:numFmt w:val="bullet"/>
      <w:lvlText w:val=""/>
      <w:lvlJc w:val="left"/>
      <w:pPr>
        <w:ind w:left="5040" w:hanging="360"/>
      </w:pPr>
      <w:rPr>
        <w:rFonts w:ascii="Symbol" w:hAnsi="Symbol" w:hint="default"/>
      </w:rPr>
    </w:lvl>
    <w:lvl w:ilvl="7" w:tplc="9B14CBE2" w:tentative="1">
      <w:start w:val="1"/>
      <w:numFmt w:val="bullet"/>
      <w:lvlText w:val="o"/>
      <w:lvlJc w:val="left"/>
      <w:pPr>
        <w:ind w:left="5760" w:hanging="360"/>
      </w:pPr>
      <w:rPr>
        <w:rFonts w:ascii="Courier New" w:hAnsi="Courier New" w:cs="Courier New" w:hint="default"/>
      </w:rPr>
    </w:lvl>
    <w:lvl w:ilvl="8" w:tplc="2320E334" w:tentative="1">
      <w:start w:val="1"/>
      <w:numFmt w:val="bullet"/>
      <w:lvlText w:val=""/>
      <w:lvlJc w:val="left"/>
      <w:pPr>
        <w:ind w:left="6480" w:hanging="360"/>
      </w:pPr>
      <w:rPr>
        <w:rFonts w:ascii="Wingdings" w:hAnsi="Wingdings" w:hint="default"/>
      </w:rPr>
    </w:lvl>
  </w:abstractNum>
  <w:abstractNum w:abstractNumId="221" w15:restartNumberingAfterBreak="0">
    <w:nsid w:val="46F91431"/>
    <w:multiLevelType w:val="hybridMultilevel"/>
    <w:tmpl w:val="5B86941A"/>
    <w:lvl w:ilvl="0" w:tplc="2F7E485C">
      <w:start w:val="1"/>
      <w:numFmt w:val="lowerLetter"/>
      <w:lvlText w:val="%1."/>
      <w:lvlJc w:val="left"/>
      <w:pPr>
        <w:ind w:left="720" w:hanging="360"/>
      </w:pPr>
      <w:rPr>
        <w:rFonts w:hint="default"/>
        <w:b/>
        <w:bCs/>
        <w:color w:val="000000" w:themeColor="text1"/>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2" w15:restartNumberingAfterBreak="0">
    <w:nsid w:val="475436A4"/>
    <w:multiLevelType w:val="multilevel"/>
    <w:tmpl w:val="D450C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47722D51"/>
    <w:multiLevelType w:val="multilevel"/>
    <w:tmpl w:val="6972C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478C0F6F"/>
    <w:multiLevelType w:val="multilevel"/>
    <w:tmpl w:val="7F1E1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479A1C74"/>
    <w:multiLevelType w:val="multilevel"/>
    <w:tmpl w:val="9FAC0BE0"/>
    <w:lvl w:ilvl="0">
      <w:start w:val="1"/>
      <w:numFmt w:val="decimal"/>
      <w:lvlText w:val="%1"/>
      <w:lvlJc w:val="left"/>
      <w:pPr>
        <w:ind w:left="360" w:hanging="360"/>
      </w:pPr>
      <w:rPr>
        <w:rFonts w:hint="default"/>
        <w:b/>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26" w15:restartNumberingAfterBreak="0">
    <w:nsid w:val="47D61878"/>
    <w:multiLevelType w:val="hybridMultilevel"/>
    <w:tmpl w:val="7840B060"/>
    <w:lvl w:ilvl="0" w:tplc="945E4406">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7" w15:restartNumberingAfterBreak="0">
    <w:nsid w:val="48065DAC"/>
    <w:multiLevelType w:val="hybridMultilevel"/>
    <w:tmpl w:val="95DA4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482D3A7F"/>
    <w:multiLevelType w:val="hybridMultilevel"/>
    <w:tmpl w:val="A37C4B6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29" w15:restartNumberingAfterBreak="0">
    <w:nsid w:val="488F5998"/>
    <w:multiLevelType w:val="multilevel"/>
    <w:tmpl w:val="AD508B4E"/>
    <w:lvl w:ilvl="0">
      <w:start w:val="2"/>
      <w:numFmt w:val="decimal"/>
      <w:lvlText w:val="%1"/>
      <w:lvlJc w:val="left"/>
      <w:pPr>
        <w:ind w:left="660" w:hanging="660"/>
      </w:pPr>
      <w:rPr>
        <w:rFonts w:hint="default"/>
        <w:b/>
        <w:color w:val="000000"/>
      </w:rPr>
    </w:lvl>
    <w:lvl w:ilvl="1">
      <w:start w:val="3"/>
      <w:numFmt w:val="decimal"/>
      <w:lvlText w:val="%1.%2"/>
      <w:lvlJc w:val="left"/>
      <w:pPr>
        <w:ind w:left="780" w:hanging="660"/>
      </w:pPr>
      <w:rPr>
        <w:rFonts w:hint="default"/>
        <w:b/>
        <w:color w:val="000000"/>
      </w:rPr>
    </w:lvl>
    <w:lvl w:ilvl="2">
      <w:start w:val="1"/>
      <w:numFmt w:val="decimal"/>
      <w:lvlText w:val="%1.%2.%3"/>
      <w:lvlJc w:val="left"/>
      <w:pPr>
        <w:ind w:left="960" w:hanging="720"/>
      </w:pPr>
      <w:rPr>
        <w:rFonts w:hint="default"/>
        <w:b/>
        <w:color w:val="000000"/>
      </w:rPr>
    </w:lvl>
    <w:lvl w:ilvl="3">
      <w:start w:val="4"/>
      <w:numFmt w:val="decimal"/>
      <w:lvlText w:val="%1.%2.%3.%4"/>
      <w:lvlJc w:val="left"/>
      <w:pPr>
        <w:ind w:left="1080" w:hanging="720"/>
      </w:pPr>
      <w:rPr>
        <w:rFonts w:hint="default"/>
        <w:b/>
        <w:color w:val="000000"/>
      </w:rPr>
    </w:lvl>
    <w:lvl w:ilvl="4">
      <w:start w:val="1"/>
      <w:numFmt w:val="decimal"/>
      <w:lvlText w:val="%1.%2.%3.%4.%5"/>
      <w:lvlJc w:val="left"/>
      <w:pPr>
        <w:ind w:left="1560" w:hanging="1080"/>
      </w:pPr>
      <w:rPr>
        <w:rFonts w:hint="default"/>
        <w:b/>
        <w:color w:val="000000"/>
      </w:rPr>
    </w:lvl>
    <w:lvl w:ilvl="5">
      <w:start w:val="1"/>
      <w:numFmt w:val="decimal"/>
      <w:lvlText w:val="%1.%2.%3.%4.%5.%6"/>
      <w:lvlJc w:val="left"/>
      <w:pPr>
        <w:ind w:left="1680" w:hanging="1080"/>
      </w:pPr>
      <w:rPr>
        <w:rFonts w:hint="default"/>
        <w:b/>
        <w:color w:val="000000"/>
      </w:rPr>
    </w:lvl>
    <w:lvl w:ilvl="6">
      <w:start w:val="1"/>
      <w:numFmt w:val="decimal"/>
      <w:lvlText w:val="%1.%2.%3.%4.%5.%6.%7"/>
      <w:lvlJc w:val="left"/>
      <w:pPr>
        <w:ind w:left="2160" w:hanging="1440"/>
      </w:pPr>
      <w:rPr>
        <w:rFonts w:hint="default"/>
        <w:b/>
        <w:color w:val="000000"/>
      </w:rPr>
    </w:lvl>
    <w:lvl w:ilvl="7">
      <w:start w:val="1"/>
      <w:numFmt w:val="decimal"/>
      <w:lvlText w:val="%1.%2.%3.%4.%5.%6.%7.%8"/>
      <w:lvlJc w:val="left"/>
      <w:pPr>
        <w:ind w:left="2280" w:hanging="1440"/>
      </w:pPr>
      <w:rPr>
        <w:rFonts w:hint="default"/>
        <w:b/>
        <w:color w:val="000000"/>
      </w:rPr>
    </w:lvl>
    <w:lvl w:ilvl="8">
      <w:start w:val="1"/>
      <w:numFmt w:val="decimal"/>
      <w:lvlText w:val="%1.%2.%3.%4.%5.%6.%7.%8.%9"/>
      <w:lvlJc w:val="left"/>
      <w:pPr>
        <w:ind w:left="2760" w:hanging="1800"/>
      </w:pPr>
      <w:rPr>
        <w:rFonts w:hint="default"/>
        <w:b/>
        <w:color w:val="000000"/>
      </w:rPr>
    </w:lvl>
  </w:abstractNum>
  <w:abstractNum w:abstractNumId="230" w15:restartNumberingAfterBreak="0">
    <w:nsid w:val="49046211"/>
    <w:multiLevelType w:val="hybridMultilevel"/>
    <w:tmpl w:val="CC127584"/>
    <w:lvl w:ilvl="0" w:tplc="2F0AFF5C">
      <w:start w:val="1"/>
      <w:numFmt w:val="bullet"/>
      <w:lvlText w:val=""/>
      <w:lvlJc w:val="left"/>
      <w:pPr>
        <w:ind w:left="720" w:hanging="360"/>
      </w:pPr>
      <w:rPr>
        <w:rFonts w:ascii="Symbol" w:hAnsi="Symbol" w:hint="default"/>
      </w:rPr>
    </w:lvl>
    <w:lvl w:ilvl="1" w:tplc="F430878C" w:tentative="1">
      <w:start w:val="1"/>
      <w:numFmt w:val="bullet"/>
      <w:lvlText w:val="o"/>
      <w:lvlJc w:val="left"/>
      <w:pPr>
        <w:ind w:left="1440" w:hanging="360"/>
      </w:pPr>
      <w:rPr>
        <w:rFonts w:ascii="Courier New" w:hAnsi="Courier New" w:cs="Courier New" w:hint="default"/>
      </w:rPr>
    </w:lvl>
    <w:lvl w:ilvl="2" w:tplc="6B80A8DC" w:tentative="1">
      <w:start w:val="1"/>
      <w:numFmt w:val="bullet"/>
      <w:lvlText w:val=""/>
      <w:lvlJc w:val="left"/>
      <w:pPr>
        <w:ind w:left="2160" w:hanging="360"/>
      </w:pPr>
      <w:rPr>
        <w:rFonts w:ascii="Wingdings" w:hAnsi="Wingdings" w:hint="default"/>
      </w:rPr>
    </w:lvl>
    <w:lvl w:ilvl="3" w:tplc="B4DE18FC" w:tentative="1">
      <w:start w:val="1"/>
      <w:numFmt w:val="bullet"/>
      <w:lvlText w:val=""/>
      <w:lvlJc w:val="left"/>
      <w:pPr>
        <w:ind w:left="2880" w:hanging="360"/>
      </w:pPr>
      <w:rPr>
        <w:rFonts w:ascii="Symbol" w:hAnsi="Symbol" w:hint="default"/>
      </w:rPr>
    </w:lvl>
    <w:lvl w:ilvl="4" w:tplc="EE78F848" w:tentative="1">
      <w:start w:val="1"/>
      <w:numFmt w:val="bullet"/>
      <w:lvlText w:val="o"/>
      <w:lvlJc w:val="left"/>
      <w:pPr>
        <w:ind w:left="3600" w:hanging="360"/>
      </w:pPr>
      <w:rPr>
        <w:rFonts w:ascii="Courier New" w:hAnsi="Courier New" w:cs="Courier New" w:hint="default"/>
      </w:rPr>
    </w:lvl>
    <w:lvl w:ilvl="5" w:tplc="85B017C2" w:tentative="1">
      <w:start w:val="1"/>
      <w:numFmt w:val="bullet"/>
      <w:lvlText w:val=""/>
      <w:lvlJc w:val="left"/>
      <w:pPr>
        <w:ind w:left="4320" w:hanging="360"/>
      </w:pPr>
      <w:rPr>
        <w:rFonts w:ascii="Wingdings" w:hAnsi="Wingdings" w:hint="default"/>
      </w:rPr>
    </w:lvl>
    <w:lvl w:ilvl="6" w:tplc="C9FE93A0" w:tentative="1">
      <w:start w:val="1"/>
      <w:numFmt w:val="bullet"/>
      <w:lvlText w:val=""/>
      <w:lvlJc w:val="left"/>
      <w:pPr>
        <w:ind w:left="5040" w:hanging="360"/>
      </w:pPr>
      <w:rPr>
        <w:rFonts w:ascii="Symbol" w:hAnsi="Symbol" w:hint="default"/>
      </w:rPr>
    </w:lvl>
    <w:lvl w:ilvl="7" w:tplc="02222B3A" w:tentative="1">
      <w:start w:val="1"/>
      <w:numFmt w:val="bullet"/>
      <w:lvlText w:val="o"/>
      <w:lvlJc w:val="left"/>
      <w:pPr>
        <w:ind w:left="5760" w:hanging="360"/>
      </w:pPr>
      <w:rPr>
        <w:rFonts w:ascii="Courier New" w:hAnsi="Courier New" w:cs="Courier New" w:hint="default"/>
      </w:rPr>
    </w:lvl>
    <w:lvl w:ilvl="8" w:tplc="946A20AE" w:tentative="1">
      <w:start w:val="1"/>
      <w:numFmt w:val="bullet"/>
      <w:lvlText w:val=""/>
      <w:lvlJc w:val="left"/>
      <w:pPr>
        <w:ind w:left="6480" w:hanging="360"/>
      </w:pPr>
      <w:rPr>
        <w:rFonts w:ascii="Wingdings" w:hAnsi="Wingdings" w:hint="default"/>
      </w:rPr>
    </w:lvl>
  </w:abstractNum>
  <w:abstractNum w:abstractNumId="231" w15:restartNumberingAfterBreak="0">
    <w:nsid w:val="49D82A9B"/>
    <w:multiLevelType w:val="multilevel"/>
    <w:tmpl w:val="5928E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4A8F0D8B"/>
    <w:multiLevelType w:val="multilevel"/>
    <w:tmpl w:val="62388E0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3" w15:restartNumberingAfterBreak="0">
    <w:nsid w:val="4AB65DC5"/>
    <w:multiLevelType w:val="multilevel"/>
    <w:tmpl w:val="64DCCC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4" w15:restartNumberingAfterBreak="0">
    <w:nsid w:val="4B345183"/>
    <w:multiLevelType w:val="hybridMultilevel"/>
    <w:tmpl w:val="43CE89A4"/>
    <w:lvl w:ilvl="0" w:tplc="C944B396">
      <w:start w:val="1"/>
      <w:numFmt w:val="decimal"/>
      <w:lvlText w:val="%1."/>
      <w:lvlJc w:val="left"/>
      <w:pPr>
        <w:ind w:left="360" w:hanging="360"/>
      </w:pPr>
      <w:rPr>
        <w:rFonts w:hint="default"/>
        <w:color w:val="auto"/>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35" w15:restartNumberingAfterBreak="0">
    <w:nsid w:val="4B8C7DDC"/>
    <w:multiLevelType w:val="multilevel"/>
    <w:tmpl w:val="64DCCC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6" w15:restartNumberingAfterBreak="0">
    <w:nsid w:val="4C412F0A"/>
    <w:multiLevelType w:val="multilevel"/>
    <w:tmpl w:val="4C412F0A"/>
    <w:lvl w:ilvl="0">
      <w:start w:val="2"/>
      <w:numFmt w:val="decimal"/>
      <w:pStyle w:val="11"/>
      <w:lvlText w:val="CHAPTER %1"/>
      <w:lvlJc w:val="left"/>
      <w:pPr>
        <w:tabs>
          <w:tab w:val="left" w:pos="113"/>
        </w:tabs>
        <w:ind w:left="0" w:firstLine="0"/>
      </w:pPr>
      <w:rPr>
        <w:rFonts w:hint="default"/>
      </w:rPr>
    </w:lvl>
    <w:lvl w:ilvl="1">
      <w:start w:val="1"/>
      <w:numFmt w:val="decimal"/>
      <w:pStyle w:val="21"/>
      <w:lvlText w:val="%1.%2"/>
      <w:lvlJc w:val="left"/>
      <w:pPr>
        <w:tabs>
          <w:tab w:val="left" w:pos="720"/>
        </w:tabs>
        <w:ind w:left="0" w:firstLine="0"/>
      </w:pPr>
      <w:rPr>
        <w:rFonts w:hint="default"/>
      </w:rPr>
    </w:lvl>
    <w:lvl w:ilvl="2">
      <w:start w:val="1"/>
      <w:numFmt w:val="decimal"/>
      <w:pStyle w:val="31"/>
      <w:lvlText w:val="%1.%2.%3 do not use"/>
      <w:lvlJc w:val="left"/>
      <w:pPr>
        <w:tabs>
          <w:tab w:val="left" w:pos="720"/>
        </w:tabs>
        <w:ind w:left="0" w:firstLine="0"/>
      </w:pPr>
      <w:rPr>
        <w:rFonts w:hint="default"/>
      </w:rPr>
    </w:lvl>
    <w:lvl w:ilvl="3">
      <w:start w:val="1"/>
      <w:numFmt w:val="decimal"/>
      <w:pStyle w:val="41"/>
      <w:lvlText w:val="%1.%2.%4"/>
      <w:lvlJc w:val="left"/>
      <w:pPr>
        <w:tabs>
          <w:tab w:val="left" w:pos="1008"/>
        </w:tabs>
        <w:ind w:left="0" w:firstLine="0"/>
      </w:pPr>
      <w:rPr>
        <w:rFonts w:hint="default"/>
      </w:rPr>
    </w:lvl>
    <w:lvl w:ilvl="4">
      <w:start w:val="1"/>
      <w:numFmt w:val="lowerLetter"/>
      <w:pStyle w:val="51"/>
      <w:lvlText w:val="%1.%2.%4(%5)"/>
      <w:lvlJc w:val="left"/>
      <w:pPr>
        <w:tabs>
          <w:tab w:val="left" w:pos="1152"/>
        </w:tabs>
        <w:ind w:left="0" w:firstLine="0"/>
      </w:pPr>
    </w:lvl>
    <w:lvl w:ilvl="5">
      <w:start w:val="1"/>
      <w:numFmt w:val="lowerRoman"/>
      <w:pStyle w:val="61"/>
      <w:lvlText w:val="%1.%2.%4(%5)(%6)"/>
      <w:lvlJc w:val="left"/>
      <w:pPr>
        <w:ind w:left="0" w:firstLine="0"/>
      </w:pPr>
      <w:rPr>
        <w:rFonts w:hint="default"/>
      </w:rPr>
    </w:lvl>
    <w:lvl w:ilvl="6">
      <w:start w:val="1"/>
      <w:numFmt w:val="decimal"/>
      <w:pStyle w:val="71"/>
      <w:lvlText w:val="%1.%2.%3.%4.%5.%6.%7"/>
      <w:lvlJc w:val="left"/>
      <w:pPr>
        <w:ind w:left="0" w:firstLine="0"/>
      </w:pPr>
      <w:rPr>
        <w:rFonts w:hint="default"/>
      </w:rPr>
    </w:lvl>
    <w:lvl w:ilvl="7">
      <w:start w:val="1"/>
      <w:numFmt w:val="decimal"/>
      <w:pStyle w:val="81"/>
      <w:lvlText w:val="%1.%2.%3.%4.%5.%6.%7.%8"/>
      <w:lvlJc w:val="left"/>
      <w:pPr>
        <w:ind w:left="0" w:firstLine="0"/>
      </w:pPr>
      <w:rPr>
        <w:rFonts w:hint="default"/>
      </w:rPr>
    </w:lvl>
    <w:lvl w:ilvl="8">
      <w:start w:val="1"/>
      <w:numFmt w:val="decimal"/>
      <w:pStyle w:val="91"/>
      <w:lvlText w:val="%1.%2.%3.%4.%5.%6.%7.%8.%9"/>
      <w:lvlJc w:val="left"/>
      <w:pPr>
        <w:ind w:left="0" w:firstLine="0"/>
      </w:pPr>
      <w:rPr>
        <w:rFonts w:hint="default"/>
      </w:rPr>
    </w:lvl>
  </w:abstractNum>
  <w:abstractNum w:abstractNumId="237" w15:restartNumberingAfterBreak="0">
    <w:nsid w:val="4C983A51"/>
    <w:multiLevelType w:val="hybridMultilevel"/>
    <w:tmpl w:val="0DB08230"/>
    <w:lvl w:ilvl="0" w:tplc="7D3E4042">
      <w:numFmt w:val="bullet"/>
      <w:lvlText w:val="-"/>
      <w:lvlJc w:val="left"/>
      <w:pPr>
        <w:ind w:left="360" w:hanging="360"/>
      </w:pPr>
      <w:rPr>
        <w:rFonts w:ascii="Cambria" w:eastAsia="Arial" w:hAnsi="Cambria" w:cs="Arial" w:hint="default"/>
      </w:rPr>
    </w:lvl>
    <w:lvl w:ilvl="1" w:tplc="7D3E4042">
      <w:numFmt w:val="bullet"/>
      <w:lvlText w:val="-"/>
      <w:lvlJc w:val="left"/>
      <w:pPr>
        <w:ind w:left="1080" w:hanging="360"/>
      </w:pPr>
      <w:rPr>
        <w:rFonts w:ascii="Cambria" w:eastAsia="Arial" w:hAnsi="Cambria" w:cs="Arial" w:hint="default"/>
      </w:r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38" w15:restartNumberingAfterBreak="0">
    <w:nsid w:val="4C9F33F4"/>
    <w:multiLevelType w:val="multilevel"/>
    <w:tmpl w:val="890E61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9" w15:restartNumberingAfterBreak="0">
    <w:nsid w:val="4CB50101"/>
    <w:multiLevelType w:val="multilevel"/>
    <w:tmpl w:val="7E723E58"/>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0" w15:restartNumberingAfterBreak="0">
    <w:nsid w:val="4D992451"/>
    <w:multiLevelType w:val="hybridMultilevel"/>
    <w:tmpl w:val="24C6326E"/>
    <w:lvl w:ilvl="0" w:tplc="FFFFFFFF">
      <w:start w:val="1"/>
      <w:numFmt w:val="decimal"/>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1" w15:restartNumberingAfterBreak="0">
    <w:nsid w:val="4F496B94"/>
    <w:multiLevelType w:val="multilevel"/>
    <w:tmpl w:val="B512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4F70429E"/>
    <w:multiLevelType w:val="hybridMultilevel"/>
    <w:tmpl w:val="21D89D50"/>
    <w:lvl w:ilvl="0" w:tplc="FFFFFFFF">
      <w:start w:val="1"/>
      <w:numFmt w:val="decimal"/>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3" w15:restartNumberingAfterBreak="0">
    <w:nsid w:val="4F7E6DE8"/>
    <w:multiLevelType w:val="multilevel"/>
    <w:tmpl w:val="3D36ACF2"/>
    <w:lvl w:ilvl="0">
      <w:start w:val="1"/>
      <w:numFmt w:val="decimal"/>
      <w:lvlText w:val="%1"/>
      <w:lvlJc w:val="left"/>
      <w:pPr>
        <w:ind w:left="540" w:hanging="540"/>
      </w:pPr>
      <w:rPr>
        <w:rFonts w:hint="default"/>
      </w:rPr>
    </w:lvl>
    <w:lvl w:ilvl="1">
      <w:start w:val="1"/>
      <w:numFmt w:val="decimal"/>
      <w:lvlText w:val="4.%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4" w15:restartNumberingAfterBreak="0">
    <w:nsid w:val="4FE37DEE"/>
    <w:multiLevelType w:val="hybridMultilevel"/>
    <w:tmpl w:val="3460B0EC"/>
    <w:lvl w:ilvl="0" w:tplc="B616036A">
      <w:start w:val="2"/>
      <w:numFmt w:val="bullet"/>
      <w:lvlText w:val="-"/>
      <w:lvlJc w:val="left"/>
      <w:pPr>
        <w:ind w:left="720" w:hanging="360"/>
      </w:pPr>
      <w:rPr>
        <w:rFonts w:ascii="Times New Roman" w:eastAsia="Times New Roman" w:hAnsi="Times New Roman" w:cs="Times New Roman" w:hint="default"/>
        <w:i w:val="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5" w15:restartNumberingAfterBreak="0">
    <w:nsid w:val="508139A1"/>
    <w:multiLevelType w:val="multilevel"/>
    <w:tmpl w:val="3FDA0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516F655F"/>
    <w:multiLevelType w:val="hybridMultilevel"/>
    <w:tmpl w:val="B476B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519A4716"/>
    <w:multiLevelType w:val="multilevel"/>
    <w:tmpl w:val="519A4716"/>
    <w:lvl w:ilvl="0">
      <w:start w:val="1"/>
      <w:numFmt w:val="decimal"/>
      <w:lvlText w:val="%1."/>
      <w:lvlJc w:val="left"/>
      <w:pPr>
        <w:ind w:left="243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8" w15:restartNumberingAfterBreak="0">
    <w:nsid w:val="51CF34AF"/>
    <w:multiLevelType w:val="hybridMultilevel"/>
    <w:tmpl w:val="A75E4FB2"/>
    <w:lvl w:ilvl="0" w:tplc="91921082">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521955BA"/>
    <w:multiLevelType w:val="hybridMultilevel"/>
    <w:tmpl w:val="24C6326E"/>
    <w:lvl w:ilvl="0" w:tplc="4560C58C">
      <w:start w:val="1"/>
      <w:numFmt w:val="decimal"/>
      <w:lvlText w:val="%1."/>
      <w:lvlJc w:val="left"/>
      <w:pPr>
        <w:ind w:left="360" w:hanging="360"/>
      </w:pPr>
      <w:rPr>
        <w:rFonts w:hint="default"/>
        <w:color w:val="auto"/>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250"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251"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52EE2D5D"/>
    <w:multiLevelType w:val="multilevel"/>
    <w:tmpl w:val="E41CA8F8"/>
    <w:lvl w:ilvl="0">
      <w:start w:val="1"/>
      <w:numFmt w:val="decimal"/>
      <w:lvlText w:val="%1."/>
      <w:lvlJc w:val="left"/>
      <w:pPr>
        <w:ind w:left="360" w:hanging="360"/>
      </w:pPr>
      <w:rPr>
        <w:i w:val="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53" w15:restartNumberingAfterBreak="0">
    <w:nsid w:val="5352378D"/>
    <w:multiLevelType w:val="multilevel"/>
    <w:tmpl w:val="DC52F2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5368147B"/>
    <w:multiLevelType w:val="hybridMultilevel"/>
    <w:tmpl w:val="D0746ACC"/>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55" w15:restartNumberingAfterBreak="0">
    <w:nsid w:val="53AD495B"/>
    <w:multiLevelType w:val="hybridMultilevel"/>
    <w:tmpl w:val="32904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53BD3424"/>
    <w:multiLevelType w:val="hybridMultilevel"/>
    <w:tmpl w:val="68A2A30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7" w15:restartNumberingAfterBreak="0">
    <w:nsid w:val="53D27786"/>
    <w:multiLevelType w:val="hybridMultilevel"/>
    <w:tmpl w:val="343668B4"/>
    <w:lvl w:ilvl="0" w:tplc="F340A8D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54017CE1"/>
    <w:multiLevelType w:val="hybridMultilevel"/>
    <w:tmpl w:val="D05A8E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9"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60" w15:restartNumberingAfterBreak="0">
    <w:nsid w:val="54243926"/>
    <w:multiLevelType w:val="hybridMultilevel"/>
    <w:tmpl w:val="D2582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542E255B"/>
    <w:multiLevelType w:val="hybridMultilevel"/>
    <w:tmpl w:val="65B2D2E4"/>
    <w:lvl w:ilvl="0" w:tplc="4D260FE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2" w15:restartNumberingAfterBreak="0">
    <w:nsid w:val="54E33F23"/>
    <w:multiLevelType w:val="hybridMultilevel"/>
    <w:tmpl w:val="AB36C1AA"/>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263" w15:restartNumberingAfterBreak="0">
    <w:nsid w:val="55F85ED8"/>
    <w:multiLevelType w:val="hybridMultilevel"/>
    <w:tmpl w:val="B476B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5609588C"/>
    <w:multiLevelType w:val="multilevel"/>
    <w:tmpl w:val="7DEC3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56D03EDB"/>
    <w:multiLevelType w:val="hybridMultilevel"/>
    <w:tmpl w:val="02A26EF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7" w15:restartNumberingAfterBreak="0">
    <w:nsid w:val="56E67CDB"/>
    <w:multiLevelType w:val="multilevel"/>
    <w:tmpl w:val="45C89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57092F17"/>
    <w:multiLevelType w:val="multilevel"/>
    <w:tmpl w:val="3D36ACF2"/>
    <w:lvl w:ilvl="0">
      <w:start w:val="1"/>
      <w:numFmt w:val="decimal"/>
      <w:lvlText w:val="%1"/>
      <w:lvlJc w:val="left"/>
      <w:pPr>
        <w:ind w:left="993" w:hanging="540"/>
      </w:pPr>
      <w:rPr>
        <w:rFonts w:hint="default"/>
      </w:rPr>
    </w:lvl>
    <w:lvl w:ilvl="1">
      <w:start w:val="1"/>
      <w:numFmt w:val="decimal"/>
      <w:lvlText w:val="4.%2"/>
      <w:lvlJc w:val="left"/>
      <w:pPr>
        <w:ind w:left="993" w:hanging="540"/>
      </w:pPr>
      <w:rPr>
        <w:rFonts w:hint="default"/>
      </w:rPr>
    </w:lvl>
    <w:lvl w:ilvl="2">
      <w:start w:val="1"/>
      <w:numFmt w:val="decimal"/>
      <w:lvlText w:val="%1.%2.%3"/>
      <w:lvlJc w:val="left"/>
      <w:pPr>
        <w:ind w:left="1173" w:hanging="720"/>
      </w:pPr>
      <w:rPr>
        <w:rFonts w:hint="default"/>
      </w:rPr>
    </w:lvl>
    <w:lvl w:ilvl="3">
      <w:start w:val="1"/>
      <w:numFmt w:val="decimal"/>
      <w:lvlText w:val="%1.%2.%3.%4"/>
      <w:lvlJc w:val="left"/>
      <w:pPr>
        <w:ind w:left="1173" w:hanging="720"/>
      </w:pPr>
      <w:rPr>
        <w:rFonts w:hint="default"/>
      </w:rPr>
    </w:lvl>
    <w:lvl w:ilvl="4">
      <w:start w:val="1"/>
      <w:numFmt w:val="decimal"/>
      <w:lvlText w:val="%1.%2.%3.%4.%5"/>
      <w:lvlJc w:val="left"/>
      <w:pPr>
        <w:ind w:left="1533" w:hanging="1080"/>
      </w:pPr>
      <w:rPr>
        <w:rFonts w:hint="default"/>
      </w:rPr>
    </w:lvl>
    <w:lvl w:ilvl="5">
      <w:start w:val="1"/>
      <w:numFmt w:val="decimal"/>
      <w:lvlText w:val="%1.%2.%3.%4.%5.%6"/>
      <w:lvlJc w:val="left"/>
      <w:pPr>
        <w:ind w:left="1533" w:hanging="1080"/>
      </w:pPr>
      <w:rPr>
        <w:rFonts w:hint="default"/>
      </w:rPr>
    </w:lvl>
    <w:lvl w:ilvl="6">
      <w:start w:val="1"/>
      <w:numFmt w:val="decimal"/>
      <w:lvlText w:val="%1.%2.%3.%4.%5.%6.%7"/>
      <w:lvlJc w:val="left"/>
      <w:pPr>
        <w:ind w:left="1893" w:hanging="1440"/>
      </w:pPr>
      <w:rPr>
        <w:rFonts w:hint="default"/>
      </w:rPr>
    </w:lvl>
    <w:lvl w:ilvl="7">
      <w:start w:val="1"/>
      <w:numFmt w:val="decimal"/>
      <w:lvlText w:val="%1.%2.%3.%4.%5.%6.%7.%8"/>
      <w:lvlJc w:val="left"/>
      <w:pPr>
        <w:ind w:left="1893" w:hanging="1440"/>
      </w:pPr>
      <w:rPr>
        <w:rFonts w:hint="default"/>
      </w:rPr>
    </w:lvl>
    <w:lvl w:ilvl="8">
      <w:start w:val="1"/>
      <w:numFmt w:val="decimal"/>
      <w:lvlText w:val="%1.%2.%3.%4.%5.%6.%7.%8.%9"/>
      <w:lvlJc w:val="left"/>
      <w:pPr>
        <w:ind w:left="1893" w:hanging="1440"/>
      </w:pPr>
      <w:rPr>
        <w:rFonts w:hint="default"/>
      </w:rPr>
    </w:lvl>
  </w:abstractNum>
  <w:abstractNum w:abstractNumId="269" w15:restartNumberingAfterBreak="0">
    <w:nsid w:val="573553E5"/>
    <w:multiLevelType w:val="multilevel"/>
    <w:tmpl w:val="9F16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575B7D9F"/>
    <w:multiLevelType w:val="multilevel"/>
    <w:tmpl w:val="575B7D9F"/>
    <w:lvl w:ilvl="0">
      <w:start w:val="1"/>
      <w:numFmt w:val="decimal"/>
      <w:pStyle w:val="ListBullet3"/>
      <w:lvlText w:val="%1."/>
      <w:lvlJc w:val="left"/>
      <w:pPr>
        <w:ind w:left="39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1">
      <w:start w:val="1"/>
      <w:numFmt w:val="decimal"/>
      <w:lvlText w:val="%2."/>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2">
      <w:start w:val="1"/>
      <w:numFmt w:val="decimal"/>
      <w:lvlText w:val="%3."/>
      <w:lvlJc w:val="left"/>
      <w:pPr>
        <w:ind w:left="111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3">
      <w:start w:val="1"/>
      <w:numFmt w:val="decimal"/>
      <w:lvlText w:val="%4."/>
      <w:lvlJc w:val="left"/>
      <w:pPr>
        <w:ind w:left="147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4">
      <w:start w:val="1"/>
      <w:numFmt w:val="decimal"/>
      <w:lvlText w:val="%5."/>
      <w:lvlJc w:val="left"/>
      <w:pPr>
        <w:ind w:left="183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5">
      <w:start w:val="1"/>
      <w:numFmt w:val="decimal"/>
      <w:lvlText w:val="%6."/>
      <w:lvlJc w:val="left"/>
      <w:pPr>
        <w:ind w:left="219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6">
      <w:start w:val="1"/>
      <w:numFmt w:val="decimal"/>
      <w:lvlText w:val="%7."/>
      <w:lvlJc w:val="left"/>
      <w:pPr>
        <w:ind w:left="255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7">
      <w:start w:val="1"/>
      <w:numFmt w:val="decimal"/>
      <w:lvlText w:val="%8."/>
      <w:lvlJc w:val="left"/>
      <w:pPr>
        <w:ind w:left="291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8">
      <w:start w:val="1"/>
      <w:numFmt w:val="decimal"/>
      <w:lvlText w:val="%9."/>
      <w:lvlJc w:val="left"/>
      <w:pPr>
        <w:ind w:left="327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abstractNum>
  <w:abstractNum w:abstractNumId="271" w15:restartNumberingAfterBreak="0">
    <w:nsid w:val="583946DE"/>
    <w:multiLevelType w:val="hybridMultilevel"/>
    <w:tmpl w:val="EAF8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58BC7F3B"/>
    <w:multiLevelType w:val="multilevel"/>
    <w:tmpl w:val="9A2E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58F87BB9"/>
    <w:multiLevelType w:val="hybridMultilevel"/>
    <w:tmpl w:val="60EEFEA2"/>
    <w:lvl w:ilvl="0" w:tplc="FB88507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59380477"/>
    <w:multiLevelType w:val="multilevel"/>
    <w:tmpl w:val="DBA2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593937EA"/>
    <w:multiLevelType w:val="multilevel"/>
    <w:tmpl w:val="A25C28E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6" w15:restartNumberingAfterBreak="0">
    <w:nsid w:val="5983315E"/>
    <w:multiLevelType w:val="hybridMultilevel"/>
    <w:tmpl w:val="47FA9E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7" w15:restartNumberingAfterBreak="0">
    <w:nsid w:val="59945DC6"/>
    <w:multiLevelType w:val="multilevel"/>
    <w:tmpl w:val="625E0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59C23DE0"/>
    <w:multiLevelType w:val="multilevel"/>
    <w:tmpl w:val="59C23DE0"/>
    <w:lvl w:ilvl="0">
      <w:start w:val="1"/>
      <w:numFmt w:val="bullet"/>
      <w:lvlText w:val="⮚"/>
      <w:lvlJc w:val="left"/>
      <w:pPr>
        <w:ind w:left="2200" w:hanging="440"/>
      </w:pPr>
      <w:rPr>
        <w:rFonts w:ascii="Noto Sans Symbols" w:eastAsia="Noto Sans Symbols" w:hAnsi="Noto Sans Symbols" w:cs="Noto Sans Symbols"/>
      </w:rPr>
    </w:lvl>
    <w:lvl w:ilvl="1">
      <w:start w:val="1"/>
      <w:numFmt w:val="bullet"/>
      <w:lvlText w:val="■"/>
      <w:lvlJc w:val="left"/>
      <w:pPr>
        <w:ind w:left="2640" w:hanging="440"/>
      </w:pPr>
      <w:rPr>
        <w:rFonts w:ascii="Noto Sans Symbols" w:eastAsia="Noto Sans Symbols" w:hAnsi="Noto Sans Symbols" w:cs="Noto Sans Symbols"/>
      </w:rPr>
    </w:lvl>
    <w:lvl w:ilvl="2">
      <w:start w:val="1"/>
      <w:numFmt w:val="bullet"/>
      <w:lvlText w:val="◆"/>
      <w:lvlJc w:val="left"/>
      <w:pPr>
        <w:ind w:left="3080" w:hanging="440"/>
      </w:pPr>
      <w:rPr>
        <w:rFonts w:ascii="Noto Sans Symbols" w:eastAsia="Noto Sans Symbols" w:hAnsi="Noto Sans Symbols" w:cs="Noto Sans Symbols"/>
      </w:rPr>
    </w:lvl>
    <w:lvl w:ilvl="3">
      <w:start w:val="1"/>
      <w:numFmt w:val="bullet"/>
      <w:lvlText w:val="●"/>
      <w:lvlJc w:val="left"/>
      <w:pPr>
        <w:ind w:left="3520" w:hanging="440"/>
      </w:pPr>
      <w:rPr>
        <w:rFonts w:ascii="Noto Sans Symbols" w:eastAsia="Noto Sans Symbols" w:hAnsi="Noto Sans Symbols" w:cs="Noto Sans Symbols"/>
      </w:rPr>
    </w:lvl>
    <w:lvl w:ilvl="4">
      <w:start w:val="1"/>
      <w:numFmt w:val="bullet"/>
      <w:lvlText w:val="■"/>
      <w:lvlJc w:val="left"/>
      <w:pPr>
        <w:ind w:left="3960" w:hanging="440"/>
      </w:pPr>
      <w:rPr>
        <w:rFonts w:ascii="Noto Sans Symbols" w:eastAsia="Noto Sans Symbols" w:hAnsi="Noto Sans Symbols" w:cs="Noto Sans Symbols"/>
      </w:rPr>
    </w:lvl>
    <w:lvl w:ilvl="5">
      <w:start w:val="1"/>
      <w:numFmt w:val="bullet"/>
      <w:lvlText w:val="◆"/>
      <w:lvlJc w:val="left"/>
      <w:pPr>
        <w:ind w:left="4400" w:hanging="440"/>
      </w:pPr>
      <w:rPr>
        <w:rFonts w:ascii="Noto Sans Symbols" w:eastAsia="Noto Sans Symbols" w:hAnsi="Noto Sans Symbols" w:cs="Noto Sans Symbols"/>
      </w:rPr>
    </w:lvl>
    <w:lvl w:ilvl="6">
      <w:start w:val="1"/>
      <w:numFmt w:val="bullet"/>
      <w:lvlText w:val="●"/>
      <w:lvlJc w:val="left"/>
      <w:pPr>
        <w:ind w:left="4840" w:hanging="440"/>
      </w:pPr>
      <w:rPr>
        <w:rFonts w:ascii="Noto Sans Symbols" w:eastAsia="Noto Sans Symbols" w:hAnsi="Noto Sans Symbols" w:cs="Noto Sans Symbols"/>
      </w:rPr>
    </w:lvl>
    <w:lvl w:ilvl="7">
      <w:start w:val="1"/>
      <w:numFmt w:val="bullet"/>
      <w:lvlText w:val="■"/>
      <w:lvlJc w:val="left"/>
      <w:pPr>
        <w:ind w:left="5280" w:hanging="440"/>
      </w:pPr>
      <w:rPr>
        <w:rFonts w:ascii="Noto Sans Symbols" w:eastAsia="Noto Sans Symbols" w:hAnsi="Noto Sans Symbols" w:cs="Noto Sans Symbols"/>
      </w:rPr>
    </w:lvl>
    <w:lvl w:ilvl="8">
      <w:start w:val="1"/>
      <w:numFmt w:val="bullet"/>
      <w:lvlText w:val="◆"/>
      <w:lvlJc w:val="left"/>
      <w:pPr>
        <w:ind w:left="5720" w:hanging="440"/>
      </w:pPr>
      <w:rPr>
        <w:rFonts w:ascii="Noto Sans Symbols" w:eastAsia="Noto Sans Symbols" w:hAnsi="Noto Sans Symbols" w:cs="Noto Sans Symbols"/>
      </w:rPr>
    </w:lvl>
  </w:abstractNum>
  <w:abstractNum w:abstractNumId="279" w15:restartNumberingAfterBreak="0">
    <w:nsid w:val="59D0583B"/>
    <w:multiLevelType w:val="hybridMultilevel"/>
    <w:tmpl w:val="EAB4C414"/>
    <w:lvl w:ilvl="0" w:tplc="24764274">
      <w:start w:val="1"/>
      <w:numFmt w:val="lowerRoman"/>
      <w:lvlText w:val="%1."/>
      <w:lvlJc w:val="left"/>
      <w:pPr>
        <w:ind w:left="1080" w:hanging="720"/>
      </w:pPr>
      <w:rPr>
        <w:rFonts w:cs="Times New Roman" w:hint="default"/>
        <w:color w:val="00000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0" w15:restartNumberingAfterBreak="0">
    <w:nsid w:val="59FC5AA7"/>
    <w:multiLevelType w:val="multilevel"/>
    <w:tmpl w:val="EDB4B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1" w15:restartNumberingAfterBreak="0">
    <w:nsid w:val="5A1B7BBD"/>
    <w:multiLevelType w:val="multilevel"/>
    <w:tmpl w:val="8D46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5A873B37"/>
    <w:multiLevelType w:val="multilevel"/>
    <w:tmpl w:val="5A873B3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3" w15:restartNumberingAfterBreak="0">
    <w:nsid w:val="5A9B25ED"/>
    <w:multiLevelType w:val="multilevel"/>
    <w:tmpl w:val="6244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5B575FB6"/>
    <w:multiLevelType w:val="multilevel"/>
    <w:tmpl w:val="16FAC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5BCD12D0"/>
    <w:multiLevelType w:val="multilevel"/>
    <w:tmpl w:val="E07696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6" w15:restartNumberingAfterBreak="0">
    <w:nsid w:val="5BD96BF8"/>
    <w:multiLevelType w:val="multilevel"/>
    <w:tmpl w:val="5BD96BF8"/>
    <w:lvl w:ilvl="0">
      <w:start w:val="1"/>
      <w:numFmt w:val="bullet"/>
      <w:pStyle w:val="Bulletedlis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287" w15:restartNumberingAfterBreak="0">
    <w:nsid w:val="5BEB0B49"/>
    <w:multiLevelType w:val="hybridMultilevel"/>
    <w:tmpl w:val="1C2E5740"/>
    <w:lvl w:ilvl="0" w:tplc="0D5285D0">
      <w:start w:val="1"/>
      <w:numFmt w:val="decimal"/>
      <w:lvlText w:val="(%1)"/>
      <w:lvlJc w:val="left"/>
      <w:pPr>
        <w:ind w:left="1080" w:hanging="360"/>
      </w:pPr>
      <w:rPr>
        <w:rFonts w:hint="default"/>
      </w:rPr>
    </w:lvl>
    <w:lvl w:ilvl="1" w:tplc="04090019" w:tentative="1">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abstractNum w:abstractNumId="288" w15:restartNumberingAfterBreak="0">
    <w:nsid w:val="5C092214"/>
    <w:multiLevelType w:val="hybridMultilevel"/>
    <w:tmpl w:val="01DC9F5E"/>
    <w:lvl w:ilvl="0" w:tplc="425E60CC">
      <w:start w:val="1"/>
      <w:numFmt w:val="lowerLetter"/>
      <w:lvlText w:val="%1."/>
      <w:lvlJc w:val="left"/>
      <w:pPr>
        <w:ind w:left="1305" w:hanging="360"/>
      </w:pPr>
      <w:rPr>
        <w:rFonts w:hint="default"/>
        <w:w w:val="100"/>
        <w:lang w:val="en-US" w:eastAsia="en-US" w:bidi="ar-SA"/>
      </w:rPr>
    </w:lvl>
    <w:lvl w:ilvl="1" w:tplc="118C75D4">
      <w:numFmt w:val="bullet"/>
      <w:lvlText w:val="•"/>
      <w:lvlJc w:val="left"/>
      <w:pPr>
        <w:ind w:left="2166" w:hanging="360"/>
      </w:pPr>
      <w:rPr>
        <w:rFonts w:hint="default"/>
        <w:lang w:val="en-US" w:eastAsia="en-US" w:bidi="ar-SA"/>
      </w:rPr>
    </w:lvl>
    <w:lvl w:ilvl="2" w:tplc="D0F6197E">
      <w:numFmt w:val="bullet"/>
      <w:lvlText w:val="•"/>
      <w:lvlJc w:val="left"/>
      <w:pPr>
        <w:ind w:left="3032" w:hanging="360"/>
      </w:pPr>
      <w:rPr>
        <w:rFonts w:hint="default"/>
        <w:lang w:val="en-US" w:eastAsia="en-US" w:bidi="ar-SA"/>
      </w:rPr>
    </w:lvl>
    <w:lvl w:ilvl="3" w:tplc="7B68B344">
      <w:numFmt w:val="bullet"/>
      <w:lvlText w:val="•"/>
      <w:lvlJc w:val="left"/>
      <w:pPr>
        <w:ind w:left="3899" w:hanging="360"/>
      </w:pPr>
      <w:rPr>
        <w:rFonts w:hint="default"/>
        <w:lang w:val="en-US" w:eastAsia="en-US" w:bidi="ar-SA"/>
      </w:rPr>
    </w:lvl>
    <w:lvl w:ilvl="4" w:tplc="A874EFA8">
      <w:numFmt w:val="bullet"/>
      <w:lvlText w:val="•"/>
      <w:lvlJc w:val="left"/>
      <w:pPr>
        <w:ind w:left="4765" w:hanging="360"/>
      </w:pPr>
      <w:rPr>
        <w:rFonts w:hint="default"/>
        <w:lang w:val="en-US" w:eastAsia="en-US" w:bidi="ar-SA"/>
      </w:rPr>
    </w:lvl>
    <w:lvl w:ilvl="5" w:tplc="B50E5E12">
      <w:numFmt w:val="bullet"/>
      <w:lvlText w:val="•"/>
      <w:lvlJc w:val="left"/>
      <w:pPr>
        <w:ind w:left="5632" w:hanging="360"/>
      </w:pPr>
      <w:rPr>
        <w:rFonts w:hint="default"/>
        <w:lang w:val="en-US" w:eastAsia="en-US" w:bidi="ar-SA"/>
      </w:rPr>
    </w:lvl>
    <w:lvl w:ilvl="6" w:tplc="58C8734A">
      <w:numFmt w:val="bullet"/>
      <w:lvlText w:val="•"/>
      <w:lvlJc w:val="left"/>
      <w:pPr>
        <w:ind w:left="6498" w:hanging="360"/>
      </w:pPr>
      <w:rPr>
        <w:rFonts w:hint="default"/>
        <w:lang w:val="en-US" w:eastAsia="en-US" w:bidi="ar-SA"/>
      </w:rPr>
    </w:lvl>
    <w:lvl w:ilvl="7" w:tplc="794CC6FC">
      <w:numFmt w:val="bullet"/>
      <w:lvlText w:val="•"/>
      <w:lvlJc w:val="left"/>
      <w:pPr>
        <w:ind w:left="7364" w:hanging="360"/>
      </w:pPr>
      <w:rPr>
        <w:rFonts w:hint="default"/>
        <w:lang w:val="en-US" w:eastAsia="en-US" w:bidi="ar-SA"/>
      </w:rPr>
    </w:lvl>
    <w:lvl w:ilvl="8" w:tplc="5BD8D5CA">
      <w:numFmt w:val="bullet"/>
      <w:lvlText w:val="•"/>
      <w:lvlJc w:val="left"/>
      <w:pPr>
        <w:ind w:left="8231" w:hanging="360"/>
      </w:pPr>
      <w:rPr>
        <w:rFonts w:hint="default"/>
        <w:lang w:val="en-US" w:eastAsia="en-US" w:bidi="ar-SA"/>
      </w:rPr>
    </w:lvl>
  </w:abstractNum>
  <w:abstractNum w:abstractNumId="289" w15:restartNumberingAfterBreak="0">
    <w:nsid w:val="5C266EF6"/>
    <w:multiLevelType w:val="hybridMultilevel"/>
    <w:tmpl w:val="6166FEDE"/>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0" w15:restartNumberingAfterBreak="0">
    <w:nsid w:val="5C370660"/>
    <w:multiLevelType w:val="multilevel"/>
    <w:tmpl w:val="6E0E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5C3A5D37"/>
    <w:multiLevelType w:val="multilevel"/>
    <w:tmpl w:val="80AE385E"/>
    <w:lvl w:ilvl="0">
      <w:start w:val="1"/>
      <w:numFmt w:val="decimal"/>
      <w:lvlText w:val="%1."/>
      <w:lvlJc w:val="left"/>
      <w:pPr>
        <w:tabs>
          <w:tab w:val="num" w:pos="810"/>
        </w:tabs>
        <w:ind w:left="810" w:hanging="360"/>
      </w:pPr>
    </w:lvl>
    <w:lvl w:ilvl="1">
      <w:start w:val="1"/>
      <w:numFmt w:val="bullet"/>
      <w:lvlText w:val="o"/>
      <w:lvlJc w:val="left"/>
      <w:pPr>
        <w:tabs>
          <w:tab w:val="num" w:pos="1530"/>
        </w:tabs>
        <w:ind w:left="1530" w:hanging="360"/>
      </w:pPr>
      <w:rPr>
        <w:rFonts w:ascii="Courier New" w:hAnsi="Courier New" w:hint="default"/>
        <w:sz w:val="20"/>
      </w:r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abstractNum w:abstractNumId="292" w15:restartNumberingAfterBreak="0">
    <w:nsid w:val="5D096E53"/>
    <w:multiLevelType w:val="multilevel"/>
    <w:tmpl w:val="6CFC93EE"/>
    <w:lvl w:ilvl="0">
      <w:start w:val="1"/>
      <w:numFmt w:val="decimal"/>
      <w:lvlText w:val="%1."/>
      <w:lvlJc w:val="left"/>
      <w:pPr>
        <w:ind w:left="360" w:hanging="360"/>
      </w:pPr>
      <w:rPr>
        <w:rFonts w:hint="default"/>
        <w:b w:val="0"/>
        <w:sz w:val="24"/>
      </w:rPr>
    </w:lvl>
    <w:lvl w:ilvl="1">
      <w:start w:val="1"/>
      <w:numFmt w:val="decimal"/>
      <w:lvlText w:val="%1.%2."/>
      <w:lvlJc w:val="left"/>
      <w:pPr>
        <w:ind w:left="780" w:hanging="720"/>
      </w:pPr>
      <w:rPr>
        <w:rFonts w:hint="default"/>
        <w:b w:val="0"/>
        <w:sz w:val="24"/>
      </w:rPr>
    </w:lvl>
    <w:lvl w:ilvl="2">
      <w:start w:val="1"/>
      <w:numFmt w:val="decimal"/>
      <w:lvlText w:val="%1.%2.%3."/>
      <w:lvlJc w:val="left"/>
      <w:pPr>
        <w:ind w:left="840" w:hanging="720"/>
      </w:pPr>
      <w:rPr>
        <w:rFonts w:hint="default"/>
        <w:b w:val="0"/>
        <w:sz w:val="24"/>
      </w:rPr>
    </w:lvl>
    <w:lvl w:ilvl="3">
      <w:start w:val="1"/>
      <w:numFmt w:val="decimal"/>
      <w:lvlText w:val="%1.%2.%3.%4."/>
      <w:lvlJc w:val="left"/>
      <w:pPr>
        <w:ind w:left="1260" w:hanging="1080"/>
      </w:pPr>
      <w:rPr>
        <w:rFonts w:hint="default"/>
        <w:b w:val="0"/>
        <w:sz w:val="24"/>
      </w:rPr>
    </w:lvl>
    <w:lvl w:ilvl="4">
      <w:start w:val="1"/>
      <w:numFmt w:val="decimal"/>
      <w:lvlText w:val="%1.%2.%3.%4.%5."/>
      <w:lvlJc w:val="left"/>
      <w:pPr>
        <w:ind w:left="1320" w:hanging="1080"/>
      </w:pPr>
      <w:rPr>
        <w:rFonts w:hint="default"/>
        <w:b w:val="0"/>
        <w:sz w:val="24"/>
      </w:rPr>
    </w:lvl>
    <w:lvl w:ilvl="5">
      <w:start w:val="1"/>
      <w:numFmt w:val="decimal"/>
      <w:lvlText w:val="%1.%2.%3.%4.%5.%6."/>
      <w:lvlJc w:val="left"/>
      <w:pPr>
        <w:ind w:left="1740" w:hanging="1440"/>
      </w:pPr>
      <w:rPr>
        <w:rFonts w:hint="default"/>
        <w:b w:val="0"/>
        <w:sz w:val="24"/>
      </w:rPr>
    </w:lvl>
    <w:lvl w:ilvl="6">
      <w:start w:val="1"/>
      <w:numFmt w:val="decimal"/>
      <w:lvlText w:val="%1.%2.%3.%4.%5.%6.%7."/>
      <w:lvlJc w:val="left"/>
      <w:pPr>
        <w:ind w:left="2160" w:hanging="1800"/>
      </w:pPr>
      <w:rPr>
        <w:rFonts w:hint="default"/>
        <w:b w:val="0"/>
        <w:sz w:val="24"/>
      </w:rPr>
    </w:lvl>
    <w:lvl w:ilvl="7">
      <w:start w:val="1"/>
      <w:numFmt w:val="decimal"/>
      <w:lvlText w:val="%1.%2.%3.%4.%5.%6.%7.%8."/>
      <w:lvlJc w:val="left"/>
      <w:pPr>
        <w:ind w:left="2220" w:hanging="1800"/>
      </w:pPr>
      <w:rPr>
        <w:rFonts w:hint="default"/>
        <w:b w:val="0"/>
        <w:sz w:val="24"/>
      </w:rPr>
    </w:lvl>
    <w:lvl w:ilvl="8">
      <w:start w:val="1"/>
      <w:numFmt w:val="decimal"/>
      <w:lvlText w:val="%1.%2.%3.%4.%5.%6.%7.%8.%9."/>
      <w:lvlJc w:val="left"/>
      <w:pPr>
        <w:ind w:left="2640" w:hanging="2160"/>
      </w:pPr>
      <w:rPr>
        <w:rFonts w:hint="default"/>
        <w:b w:val="0"/>
        <w:sz w:val="24"/>
      </w:rPr>
    </w:lvl>
  </w:abstractNum>
  <w:abstractNum w:abstractNumId="293" w15:restartNumberingAfterBreak="0">
    <w:nsid w:val="5D432951"/>
    <w:multiLevelType w:val="hybridMultilevel"/>
    <w:tmpl w:val="DA96403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4" w15:restartNumberingAfterBreak="0">
    <w:nsid w:val="5D6A05C1"/>
    <w:multiLevelType w:val="multilevel"/>
    <w:tmpl w:val="9C4488F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5DE029A0"/>
    <w:multiLevelType w:val="multilevel"/>
    <w:tmpl w:val="3C308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5E070B2C"/>
    <w:multiLevelType w:val="multilevel"/>
    <w:tmpl w:val="3D36ACF2"/>
    <w:lvl w:ilvl="0">
      <w:start w:val="1"/>
      <w:numFmt w:val="decimal"/>
      <w:lvlText w:val="%1"/>
      <w:lvlJc w:val="left"/>
      <w:pPr>
        <w:ind w:left="540" w:hanging="540"/>
      </w:pPr>
      <w:rPr>
        <w:rFonts w:hint="default"/>
      </w:rPr>
    </w:lvl>
    <w:lvl w:ilvl="1">
      <w:start w:val="1"/>
      <w:numFmt w:val="decimal"/>
      <w:lvlText w:val="4.%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7" w15:restartNumberingAfterBreak="0">
    <w:nsid w:val="5E2D3B02"/>
    <w:multiLevelType w:val="hybridMultilevel"/>
    <w:tmpl w:val="F12A859E"/>
    <w:lvl w:ilvl="0" w:tplc="8F9CCC8A">
      <w:start w:val="1"/>
      <w:numFmt w:val="bullet"/>
      <w:lvlText w:val=""/>
      <w:lvlJc w:val="left"/>
      <w:pPr>
        <w:ind w:left="704" w:hanging="420"/>
      </w:pPr>
      <w:rPr>
        <w:rFonts w:ascii="Wingdings" w:hAnsi="Wingdings" w:hint="default"/>
        <w:color w:val="auto"/>
        <w:sz w:val="13"/>
        <w:szCs w:val="13"/>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8" w15:restartNumberingAfterBreak="0">
    <w:nsid w:val="5E715BF8"/>
    <w:multiLevelType w:val="hybridMultilevel"/>
    <w:tmpl w:val="E408A3E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99" w15:restartNumberingAfterBreak="0">
    <w:nsid w:val="5E854D7F"/>
    <w:multiLevelType w:val="hybridMultilevel"/>
    <w:tmpl w:val="4574E5D2"/>
    <w:lvl w:ilvl="0" w:tplc="9C202332">
      <w:start w:val="1"/>
      <w:numFmt w:val="lowerLetter"/>
      <w:lvlText w:val="%1."/>
      <w:lvlJc w:val="left"/>
      <w:pPr>
        <w:ind w:left="360" w:hanging="360"/>
      </w:pPr>
      <w:rPr>
        <w:rFonts w:hint="default"/>
        <w:spacing w:val="-1"/>
        <w:w w:val="100"/>
        <w:lang w:val="en-US" w:eastAsia="en-US" w:bidi="ar-SA"/>
      </w:rPr>
    </w:lvl>
    <w:lvl w:ilvl="1" w:tplc="897CBF84">
      <w:numFmt w:val="bullet"/>
      <w:lvlText w:val="•"/>
      <w:lvlJc w:val="left"/>
      <w:pPr>
        <w:ind w:left="1221" w:hanging="360"/>
      </w:pPr>
      <w:rPr>
        <w:rFonts w:hint="default"/>
        <w:lang w:val="en-US" w:eastAsia="en-US" w:bidi="ar-SA"/>
      </w:rPr>
    </w:lvl>
    <w:lvl w:ilvl="2" w:tplc="9C4EE48C">
      <w:numFmt w:val="bullet"/>
      <w:lvlText w:val="•"/>
      <w:lvlJc w:val="left"/>
      <w:pPr>
        <w:ind w:left="2087" w:hanging="360"/>
      </w:pPr>
      <w:rPr>
        <w:rFonts w:hint="default"/>
        <w:lang w:val="en-US" w:eastAsia="en-US" w:bidi="ar-SA"/>
      </w:rPr>
    </w:lvl>
    <w:lvl w:ilvl="3" w:tplc="4D3EC856">
      <w:numFmt w:val="bullet"/>
      <w:lvlText w:val="•"/>
      <w:lvlJc w:val="left"/>
      <w:pPr>
        <w:ind w:left="2954" w:hanging="360"/>
      </w:pPr>
      <w:rPr>
        <w:rFonts w:hint="default"/>
        <w:lang w:val="en-US" w:eastAsia="en-US" w:bidi="ar-SA"/>
      </w:rPr>
    </w:lvl>
    <w:lvl w:ilvl="4" w:tplc="FF5C2DC0">
      <w:numFmt w:val="bullet"/>
      <w:lvlText w:val="•"/>
      <w:lvlJc w:val="left"/>
      <w:pPr>
        <w:ind w:left="3820" w:hanging="360"/>
      </w:pPr>
      <w:rPr>
        <w:rFonts w:hint="default"/>
        <w:lang w:val="en-US" w:eastAsia="en-US" w:bidi="ar-SA"/>
      </w:rPr>
    </w:lvl>
    <w:lvl w:ilvl="5" w:tplc="AD74DD36">
      <w:numFmt w:val="bullet"/>
      <w:lvlText w:val="•"/>
      <w:lvlJc w:val="left"/>
      <w:pPr>
        <w:ind w:left="4687" w:hanging="360"/>
      </w:pPr>
      <w:rPr>
        <w:rFonts w:hint="default"/>
        <w:lang w:val="en-US" w:eastAsia="en-US" w:bidi="ar-SA"/>
      </w:rPr>
    </w:lvl>
    <w:lvl w:ilvl="6" w:tplc="DD606006">
      <w:numFmt w:val="bullet"/>
      <w:lvlText w:val="•"/>
      <w:lvlJc w:val="left"/>
      <w:pPr>
        <w:ind w:left="5553" w:hanging="360"/>
      </w:pPr>
      <w:rPr>
        <w:rFonts w:hint="default"/>
        <w:lang w:val="en-US" w:eastAsia="en-US" w:bidi="ar-SA"/>
      </w:rPr>
    </w:lvl>
    <w:lvl w:ilvl="7" w:tplc="3F7CCC4A">
      <w:numFmt w:val="bullet"/>
      <w:lvlText w:val="•"/>
      <w:lvlJc w:val="left"/>
      <w:pPr>
        <w:ind w:left="6419" w:hanging="360"/>
      </w:pPr>
      <w:rPr>
        <w:rFonts w:hint="default"/>
        <w:lang w:val="en-US" w:eastAsia="en-US" w:bidi="ar-SA"/>
      </w:rPr>
    </w:lvl>
    <w:lvl w:ilvl="8" w:tplc="AFCC9520">
      <w:numFmt w:val="bullet"/>
      <w:lvlText w:val="•"/>
      <w:lvlJc w:val="left"/>
      <w:pPr>
        <w:ind w:left="7286" w:hanging="360"/>
      </w:pPr>
      <w:rPr>
        <w:rFonts w:hint="default"/>
        <w:lang w:val="en-US" w:eastAsia="en-US" w:bidi="ar-SA"/>
      </w:rPr>
    </w:lvl>
  </w:abstractNum>
  <w:abstractNum w:abstractNumId="300" w15:restartNumberingAfterBreak="0">
    <w:nsid w:val="5F8B27B0"/>
    <w:multiLevelType w:val="multilevel"/>
    <w:tmpl w:val="A4142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6033569D"/>
    <w:multiLevelType w:val="multilevel"/>
    <w:tmpl w:val="64DCCC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2" w15:restartNumberingAfterBreak="0">
    <w:nsid w:val="607B15BE"/>
    <w:multiLevelType w:val="hybridMultilevel"/>
    <w:tmpl w:val="AAC601B0"/>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303" w15:restartNumberingAfterBreak="0">
    <w:nsid w:val="617C2416"/>
    <w:multiLevelType w:val="multilevel"/>
    <w:tmpl w:val="06BCD67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4" w15:restartNumberingAfterBreak="0">
    <w:nsid w:val="61A1276D"/>
    <w:multiLevelType w:val="hybridMultilevel"/>
    <w:tmpl w:val="6450CB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5" w15:restartNumberingAfterBreak="0">
    <w:nsid w:val="61AF4F0C"/>
    <w:multiLevelType w:val="multilevel"/>
    <w:tmpl w:val="6B785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62C26FB8"/>
    <w:multiLevelType w:val="multilevel"/>
    <w:tmpl w:val="635408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7" w15:restartNumberingAfterBreak="0">
    <w:nsid w:val="62CF6667"/>
    <w:multiLevelType w:val="multilevel"/>
    <w:tmpl w:val="9F145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633B283B"/>
    <w:multiLevelType w:val="hybridMultilevel"/>
    <w:tmpl w:val="FFD666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636555D2"/>
    <w:multiLevelType w:val="multilevel"/>
    <w:tmpl w:val="46D6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642244D4"/>
    <w:multiLevelType w:val="hybridMultilevel"/>
    <w:tmpl w:val="FA04149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1" w15:restartNumberingAfterBreak="0">
    <w:nsid w:val="643768CC"/>
    <w:multiLevelType w:val="hybridMultilevel"/>
    <w:tmpl w:val="33F0E294"/>
    <w:lvl w:ilvl="0" w:tplc="CBEE0F88">
      <w:start w:val="1"/>
      <w:numFmt w:val="decimal"/>
      <w:lvlText w:val="%1)"/>
      <w:lvlJc w:val="left"/>
      <w:pPr>
        <w:ind w:left="140" w:hanging="303"/>
      </w:pPr>
      <w:rPr>
        <w:rFonts w:ascii="Times New Roman" w:eastAsia="Times New Roman" w:hAnsi="Times New Roman" w:cs="Times New Roman" w:hint="default"/>
        <w:w w:val="99"/>
        <w:sz w:val="24"/>
        <w:szCs w:val="24"/>
        <w:lang w:val="en-US" w:eastAsia="en-US" w:bidi="ar-SA"/>
      </w:rPr>
    </w:lvl>
    <w:lvl w:ilvl="1" w:tplc="19C894A4">
      <w:start w:val="1"/>
      <w:numFmt w:val="lowerLetter"/>
      <w:lvlText w:val="%2)"/>
      <w:lvlJc w:val="left"/>
      <w:pPr>
        <w:ind w:left="140" w:hanging="303"/>
      </w:pPr>
      <w:rPr>
        <w:rFonts w:ascii="Times New Roman" w:eastAsia="Times New Roman" w:hAnsi="Times New Roman" w:cs="Times New Roman" w:hint="default"/>
        <w:spacing w:val="-1"/>
        <w:w w:val="100"/>
        <w:sz w:val="24"/>
        <w:szCs w:val="24"/>
        <w:lang w:val="en-US" w:eastAsia="en-US" w:bidi="ar-SA"/>
      </w:rPr>
    </w:lvl>
    <w:lvl w:ilvl="2" w:tplc="CEB0D90A">
      <w:numFmt w:val="bullet"/>
      <w:lvlText w:val="•"/>
      <w:lvlJc w:val="left"/>
      <w:pPr>
        <w:ind w:left="1987" w:hanging="303"/>
      </w:pPr>
      <w:rPr>
        <w:rFonts w:hint="default"/>
        <w:lang w:val="en-US" w:eastAsia="en-US" w:bidi="ar-SA"/>
      </w:rPr>
    </w:lvl>
    <w:lvl w:ilvl="3" w:tplc="ECD42F84">
      <w:numFmt w:val="bullet"/>
      <w:lvlText w:val="•"/>
      <w:lvlJc w:val="left"/>
      <w:pPr>
        <w:ind w:left="2911" w:hanging="303"/>
      </w:pPr>
      <w:rPr>
        <w:rFonts w:hint="default"/>
        <w:lang w:val="en-US" w:eastAsia="en-US" w:bidi="ar-SA"/>
      </w:rPr>
    </w:lvl>
    <w:lvl w:ilvl="4" w:tplc="6BBEEEB8">
      <w:numFmt w:val="bullet"/>
      <w:lvlText w:val="•"/>
      <w:lvlJc w:val="left"/>
      <w:pPr>
        <w:ind w:left="3835" w:hanging="303"/>
      </w:pPr>
      <w:rPr>
        <w:rFonts w:hint="default"/>
        <w:lang w:val="en-US" w:eastAsia="en-US" w:bidi="ar-SA"/>
      </w:rPr>
    </w:lvl>
    <w:lvl w:ilvl="5" w:tplc="B8A291E2">
      <w:numFmt w:val="bullet"/>
      <w:lvlText w:val="•"/>
      <w:lvlJc w:val="left"/>
      <w:pPr>
        <w:ind w:left="4759" w:hanging="303"/>
      </w:pPr>
      <w:rPr>
        <w:rFonts w:hint="default"/>
        <w:lang w:val="en-US" w:eastAsia="en-US" w:bidi="ar-SA"/>
      </w:rPr>
    </w:lvl>
    <w:lvl w:ilvl="6" w:tplc="2BCA61A6">
      <w:numFmt w:val="bullet"/>
      <w:lvlText w:val="•"/>
      <w:lvlJc w:val="left"/>
      <w:pPr>
        <w:ind w:left="5683" w:hanging="303"/>
      </w:pPr>
      <w:rPr>
        <w:rFonts w:hint="default"/>
        <w:lang w:val="en-US" w:eastAsia="en-US" w:bidi="ar-SA"/>
      </w:rPr>
    </w:lvl>
    <w:lvl w:ilvl="7" w:tplc="83F4A50A">
      <w:numFmt w:val="bullet"/>
      <w:lvlText w:val="•"/>
      <w:lvlJc w:val="left"/>
      <w:pPr>
        <w:ind w:left="6607" w:hanging="303"/>
      </w:pPr>
      <w:rPr>
        <w:rFonts w:hint="default"/>
        <w:lang w:val="en-US" w:eastAsia="en-US" w:bidi="ar-SA"/>
      </w:rPr>
    </w:lvl>
    <w:lvl w:ilvl="8" w:tplc="E4088D9A">
      <w:numFmt w:val="bullet"/>
      <w:lvlText w:val="•"/>
      <w:lvlJc w:val="left"/>
      <w:pPr>
        <w:ind w:left="7531" w:hanging="303"/>
      </w:pPr>
      <w:rPr>
        <w:rFonts w:hint="default"/>
        <w:lang w:val="en-US" w:eastAsia="en-US" w:bidi="ar-SA"/>
      </w:rPr>
    </w:lvl>
  </w:abstractNum>
  <w:abstractNum w:abstractNumId="312" w15:restartNumberingAfterBreak="0">
    <w:nsid w:val="644D3164"/>
    <w:multiLevelType w:val="multilevel"/>
    <w:tmpl w:val="024EB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649C7749"/>
    <w:multiLevelType w:val="multilevel"/>
    <w:tmpl w:val="0BBC8B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4" w15:restartNumberingAfterBreak="0">
    <w:nsid w:val="653F7300"/>
    <w:multiLevelType w:val="hybridMultilevel"/>
    <w:tmpl w:val="3F285680"/>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315" w15:restartNumberingAfterBreak="0">
    <w:nsid w:val="65F81BFC"/>
    <w:multiLevelType w:val="hybridMultilevel"/>
    <w:tmpl w:val="0BA03AC2"/>
    <w:lvl w:ilvl="0" w:tplc="44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66286540"/>
    <w:multiLevelType w:val="hybridMultilevel"/>
    <w:tmpl w:val="D2D4B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6668036C"/>
    <w:multiLevelType w:val="hybridMultilevel"/>
    <w:tmpl w:val="F37A1C9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8" w15:restartNumberingAfterBreak="0">
    <w:nsid w:val="669A5D9E"/>
    <w:multiLevelType w:val="hybridMultilevel"/>
    <w:tmpl w:val="5BD459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9" w15:restartNumberingAfterBreak="0">
    <w:nsid w:val="66E77AD4"/>
    <w:multiLevelType w:val="multilevel"/>
    <w:tmpl w:val="584A806E"/>
    <w:lvl w:ilvl="0">
      <w:start w:val="1"/>
      <w:numFmt w:val="decimal"/>
      <w:lvlText w:val="%1."/>
      <w:lvlJc w:val="left"/>
      <w:pPr>
        <w:tabs>
          <w:tab w:val="num" w:pos="720"/>
        </w:tabs>
        <w:ind w:left="720" w:hanging="360"/>
      </w:pPr>
      <w:rPr>
        <w:rFonts w:ascii="Times New Roman" w:eastAsiaTheme="minorHAnsi" w:hAnsi="Times New Roman" w:cs="Times New Roman"/>
        <w:b w:val="0"/>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66EA5ADA"/>
    <w:multiLevelType w:val="hybridMultilevel"/>
    <w:tmpl w:val="02A26EF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21" w15:restartNumberingAfterBreak="0">
    <w:nsid w:val="66F524A1"/>
    <w:multiLevelType w:val="multilevel"/>
    <w:tmpl w:val="F8800C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2" w15:restartNumberingAfterBreak="0">
    <w:nsid w:val="674F100A"/>
    <w:multiLevelType w:val="multilevel"/>
    <w:tmpl w:val="E9DC5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67752F6B"/>
    <w:multiLevelType w:val="multilevel"/>
    <w:tmpl w:val="67752F6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24" w15:restartNumberingAfterBreak="0">
    <w:nsid w:val="68556095"/>
    <w:multiLevelType w:val="multilevel"/>
    <w:tmpl w:val="E4AC1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68AD017A"/>
    <w:multiLevelType w:val="hybridMultilevel"/>
    <w:tmpl w:val="73BA0022"/>
    <w:lvl w:ilvl="0" w:tplc="AC76BC8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6" w15:restartNumberingAfterBreak="0">
    <w:nsid w:val="69386811"/>
    <w:multiLevelType w:val="hybridMultilevel"/>
    <w:tmpl w:val="A43C2904"/>
    <w:lvl w:ilvl="0" w:tplc="0F34806A">
      <w:start w:val="1"/>
      <w:numFmt w:val="lowerRoman"/>
      <w:lvlText w:val="%1."/>
      <w:lvlJc w:val="right"/>
      <w:pPr>
        <w:ind w:left="720" w:hanging="360"/>
      </w:pPr>
    </w:lvl>
    <w:lvl w:ilvl="1" w:tplc="DE8E89DA" w:tentative="1">
      <w:start w:val="1"/>
      <w:numFmt w:val="lowerLetter"/>
      <w:lvlText w:val="%2."/>
      <w:lvlJc w:val="left"/>
      <w:pPr>
        <w:ind w:left="1440" w:hanging="360"/>
      </w:pPr>
    </w:lvl>
    <w:lvl w:ilvl="2" w:tplc="048CA706" w:tentative="1">
      <w:start w:val="1"/>
      <w:numFmt w:val="lowerRoman"/>
      <w:lvlText w:val="%3."/>
      <w:lvlJc w:val="right"/>
      <w:pPr>
        <w:ind w:left="2160" w:hanging="180"/>
      </w:pPr>
    </w:lvl>
    <w:lvl w:ilvl="3" w:tplc="F9D2B812" w:tentative="1">
      <w:start w:val="1"/>
      <w:numFmt w:val="decimal"/>
      <w:lvlText w:val="%4."/>
      <w:lvlJc w:val="left"/>
      <w:pPr>
        <w:ind w:left="2880" w:hanging="360"/>
      </w:pPr>
    </w:lvl>
    <w:lvl w:ilvl="4" w:tplc="186EA166" w:tentative="1">
      <w:start w:val="1"/>
      <w:numFmt w:val="lowerLetter"/>
      <w:lvlText w:val="%5."/>
      <w:lvlJc w:val="left"/>
      <w:pPr>
        <w:ind w:left="3600" w:hanging="360"/>
      </w:pPr>
    </w:lvl>
    <w:lvl w:ilvl="5" w:tplc="64626CFA" w:tentative="1">
      <w:start w:val="1"/>
      <w:numFmt w:val="lowerRoman"/>
      <w:lvlText w:val="%6."/>
      <w:lvlJc w:val="right"/>
      <w:pPr>
        <w:ind w:left="4320" w:hanging="180"/>
      </w:pPr>
    </w:lvl>
    <w:lvl w:ilvl="6" w:tplc="1F127D24" w:tentative="1">
      <w:start w:val="1"/>
      <w:numFmt w:val="decimal"/>
      <w:lvlText w:val="%7."/>
      <w:lvlJc w:val="left"/>
      <w:pPr>
        <w:ind w:left="5040" w:hanging="360"/>
      </w:pPr>
    </w:lvl>
    <w:lvl w:ilvl="7" w:tplc="700850E4" w:tentative="1">
      <w:start w:val="1"/>
      <w:numFmt w:val="lowerLetter"/>
      <w:lvlText w:val="%8."/>
      <w:lvlJc w:val="left"/>
      <w:pPr>
        <w:ind w:left="5760" w:hanging="360"/>
      </w:pPr>
    </w:lvl>
    <w:lvl w:ilvl="8" w:tplc="D0142952" w:tentative="1">
      <w:start w:val="1"/>
      <w:numFmt w:val="lowerRoman"/>
      <w:lvlText w:val="%9."/>
      <w:lvlJc w:val="right"/>
      <w:pPr>
        <w:ind w:left="6480" w:hanging="180"/>
      </w:pPr>
    </w:lvl>
  </w:abstractNum>
  <w:abstractNum w:abstractNumId="327" w15:restartNumberingAfterBreak="0">
    <w:nsid w:val="69436B07"/>
    <w:multiLevelType w:val="hybridMultilevel"/>
    <w:tmpl w:val="B476B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695F32D7"/>
    <w:multiLevelType w:val="multilevel"/>
    <w:tmpl w:val="3AD8E6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69A70358"/>
    <w:multiLevelType w:val="multilevel"/>
    <w:tmpl w:val="69A7035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6A4C3E4F"/>
    <w:multiLevelType w:val="hybridMultilevel"/>
    <w:tmpl w:val="36805790"/>
    <w:lvl w:ilvl="0" w:tplc="99DABC90">
      <w:start w:val="1"/>
      <w:numFmt w:val="lowerRoman"/>
      <w:lvlText w:val="%1."/>
      <w:lvlJc w:val="right"/>
      <w:pPr>
        <w:ind w:left="1440" w:hanging="360"/>
      </w:pPr>
    </w:lvl>
    <w:lvl w:ilvl="1" w:tplc="535C6134" w:tentative="1">
      <w:start w:val="1"/>
      <w:numFmt w:val="lowerLetter"/>
      <w:lvlText w:val="%2."/>
      <w:lvlJc w:val="left"/>
      <w:pPr>
        <w:ind w:left="2160" w:hanging="360"/>
      </w:pPr>
    </w:lvl>
    <w:lvl w:ilvl="2" w:tplc="8ECC9562" w:tentative="1">
      <w:start w:val="1"/>
      <w:numFmt w:val="lowerRoman"/>
      <w:lvlText w:val="%3."/>
      <w:lvlJc w:val="right"/>
      <w:pPr>
        <w:ind w:left="2880" w:hanging="180"/>
      </w:pPr>
    </w:lvl>
    <w:lvl w:ilvl="3" w:tplc="72441130" w:tentative="1">
      <w:start w:val="1"/>
      <w:numFmt w:val="decimal"/>
      <w:lvlText w:val="%4."/>
      <w:lvlJc w:val="left"/>
      <w:pPr>
        <w:ind w:left="3600" w:hanging="360"/>
      </w:pPr>
    </w:lvl>
    <w:lvl w:ilvl="4" w:tplc="B4106792" w:tentative="1">
      <w:start w:val="1"/>
      <w:numFmt w:val="lowerLetter"/>
      <w:lvlText w:val="%5."/>
      <w:lvlJc w:val="left"/>
      <w:pPr>
        <w:ind w:left="4320" w:hanging="360"/>
      </w:pPr>
    </w:lvl>
    <w:lvl w:ilvl="5" w:tplc="ECC2913C" w:tentative="1">
      <w:start w:val="1"/>
      <w:numFmt w:val="lowerRoman"/>
      <w:lvlText w:val="%6."/>
      <w:lvlJc w:val="right"/>
      <w:pPr>
        <w:ind w:left="5040" w:hanging="180"/>
      </w:pPr>
    </w:lvl>
    <w:lvl w:ilvl="6" w:tplc="30BAC898" w:tentative="1">
      <w:start w:val="1"/>
      <w:numFmt w:val="decimal"/>
      <w:lvlText w:val="%7."/>
      <w:lvlJc w:val="left"/>
      <w:pPr>
        <w:ind w:left="5760" w:hanging="360"/>
      </w:pPr>
    </w:lvl>
    <w:lvl w:ilvl="7" w:tplc="E960CA70" w:tentative="1">
      <w:start w:val="1"/>
      <w:numFmt w:val="lowerLetter"/>
      <w:lvlText w:val="%8."/>
      <w:lvlJc w:val="left"/>
      <w:pPr>
        <w:ind w:left="6480" w:hanging="360"/>
      </w:pPr>
    </w:lvl>
    <w:lvl w:ilvl="8" w:tplc="B1F0ECC8" w:tentative="1">
      <w:start w:val="1"/>
      <w:numFmt w:val="lowerRoman"/>
      <w:lvlText w:val="%9."/>
      <w:lvlJc w:val="right"/>
      <w:pPr>
        <w:ind w:left="7200" w:hanging="180"/>
      </w:pPr>
    </w:lvl>
  </w:abstractNum>
  <w:abstractNum w:abstractNumId="331" w15:restartNumberingAfterBreak="0">
    <w:nsid w:val="6A5E65DE"/>
    <w:multiLevelType w:val="multilevel"/>
    <w:tmpl w:val="865883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2" w15:restartNumberingAfterBreak="0">
    <w:nsid w:val="6A7727F9"/>
    <w:multiLevelType w:val="hybridMultilevel"/>
    <w:tmpl w:val="4A10E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6B586AE0"/>
    <w:multiLevelType w:val="multilevel"/>
    <w:tmpl w:val="E4D8C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6BEC0E44"/>
    <w:multiLevelType w:val="multilevel"/>
    <w:tmpl w:val="14684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336" w15:restartNumberingAfterBreak="0">
    <w:nsid w:val="6C611F63"/>
    <w:multiLevelType w:val="multilevel"/>
    <w:tmpl w:val="C76C2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6D3F5D44"/>
    <w:multiLevelType w:val="hybridMultilevel"/>
    <w:tmpl w:val="AA40D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6D4B13B8"/>
    <w:multiLevelType w:val="multilevel"/>
    <w:tmpl w:val="6EC275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9" w15:restartNumberingAfterBreak="0">
    <w:nsid w:val="6D6C183F"/>
    <w:multiLevelType w:val="hybridMultilevel"/>
    <w:tmpl w:val="2DD249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6DED7841"/>
    <w:multiLevelType w:val="hybridMultilevel"/>
    <w:tmpl w:val="544421EA"/>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41" w15:restartNumberingAfterBreak="0">
    <w:nsid w:val="6EC6679B"/>
    <w:multiLevelType w:val="hybridMultilevel"/>
    <w:tmpl w:val="B2224DAC"/>
    <w:lvl w:ilvl="0" w:tplc="24F8921C">
      <w:start w:val="1"/>
      <w:numFmt w:val="lowerRoman"/>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15:restartNumberingAfterBreak="0">
    <w:nsid w:val="6EF91CAB"/>
    <w:multiLevelType w:val="hybridMultilevel"/>
    <w:tmpl w:val="F182B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6F1F373C"/>
    <w:multiLevelType w:val="multilevel"/>
    <w:tmpl w:val="6F1F373C"/>
    <w:lvl w:ilvl="0">
      <w:start w:val="1"/>
      <w:numFmt w:val="decimal"/>
      <w:pStyle w:val="ListNumber2"/>
      <w:lvlText w:val="%1."/>
      <w:lvlJc w:val="left"/>
      <w:pPr>
        <w:tabs>
          <w:tab w:val="left" w:pos="643"/>
        </w:tabs>
        <w:ind w:left="6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4" w15:restartNumberingAfterBreak="0">
    <w:nsid w:val="6F404C9F"/>
    <w:multiLevelType w:val="multilevel"/>
    <w:tmpl w:val="6F404C9F"/>
    <w:lvl w:ilvl="0">
      <w:start w:val="1"/>
      <w:numFmt w:val="bullet"/>
      <w:pStyle w:val="dashitem"/>
      <w:lvlText w:val="─"/>
      <w:lvlJc w:val="left"/>
      <w:pPr>
        <w:tabs>
          <w:tab w:val="left" w:pos="227"/>
        </w:tabs>
        <w:ind w:left="227" w:hanging="227"/>
      </w:pPr>
      <w:rPr>
        <w:rFonts w:ascii="Times New Roman" w:hAnsi="Times New Roman" w:cs="Times New Roman" w:hint="default"/>
      </w:rPr>
    </w:lvl>
    <w:lvl w:ilvl="1">
      <w:start w:val="1"/>
      <w:numFmt w:val="bullet"/>
      <w:lvlText w:val=""/>
      <w:lvlJc w:val="left"/>
      <w:pPr>
        <w:tabs>
          <w:tab w:val="left" w:pos="454"/>
        </w:tabs>
        <w:ind w:left="454" w:hanging="227"/>
      </w:pPr>
      <w:rPr>
        <w:rFonts w:ascii="Symbol" w:hAnsi="Symbol" w:hint="default"/>
      </w:rPr>
    </w:lvl>
    <w:lvl w:ilvl="2">
      <w:start w:val="1"/>
      <w:numFmt w:val="bullet"/>
      <w:lvlText w:val="○"/>
      <w:lvlJc w:val="left"/>
      <w:pPr>
        <w:tabs>
          <w:tab w:val="left" w:pos="680"/>
        </w:tabs>
        <w:ind w:left="680" w:hanging="226"/>
      </w:pPr>
      <w:rPr>
        <w:rFonts w:ascii="Times New Roman" w:hAnsi="Times New Roman" w:cs="Times New Roman" w:hint="default"/>
      </w:rPr>
    </w:lvl>
    <w:lvl w:ilvl="3">
      <w:start w:val="1"/>
      <w:numFmt w:val="bullet"/>
      <w:lvlText w:val="■"/>
      <w:lvlJc w:val="left"/>
      <w:pPr>
        <w:tabs>
          <w:tab w:val="left" w:pos="907"/>
        </w:tabs>
        <w:ind w:left="907" w:hanging="227"/>
      </w:pPr>
      <w:rPr>
        <w:rFonts w:ascii="Times New Roman" w:hAnsi="Times New Roman" w:cs="Times New Roman" w:hint="default"/>
      </w:rPr>
    </w:lvl>
    <w:lvl w:ilvl="4">
      <w:start w:val="1"/>
      <w:numFmt w:val="bullet"/>
      <w:lvlText w:val="○"/>
      <w:lvlJc w:val="left"/>
      <w:pPr>
        <w:tabs>
          <w:tab w:val="left" w:pos="1134"/>
        </w:tabs>
        <w:ind w:left="1134" w:hanging="227"/>
      </w:pPr>
      <w:rPr>
        <w:rFonts w:ascii="Times New Roman" w:hAnsi="Times New Roman" w:cs="Times New Roman" w:hint="default"/>
      </w:rPr>
    </w:lvl>
    <w:lvl w:ilvl="5">
      <w:start w:val="1"/>
      <w:numFmt w:val="bullet"/>
      <w:lvlText w:val="■"/>
      <w:lvlJc w:val="left"/>
      <w:pPr>
        <w:tabs>
          <w:tab w:val="left" w:pos="1361"/>
        </w:tabs>
        <w:ind w:left="1361" w:hanging="227"/>
      </w:pPr>
      <w:rPr>
        <w:rFonts w:ascii="Times New Roman" w:hAnsi="Times New Roman" w:cs="Times New Roman" w:hint="default"/>
      </w:rPr>
    </w:lvl>
    <w:lvl w:ilvl="6">
      <w:start w:val="1"/>
      <w:numFmt w:val="bullet"/>
      <w:lvlText w:val=""/>
      <w:lvlJc w:val="left"/>
      <w:pPr>
        <w:tabs>
          <w:tab w:val="left" w:pos="1588"/>
        </w:tabs>
        <w:ind w:left="1588" w:hanging="227"/>
      </w:pPr>
      <w:rPr>
        <w:rFonts w:ascii="Symbol" w:hAnsi="Symbol" w:hint="default"/>
      </w:rPr>
    </w:lvl>
    <w:lvl w:ilvl="7">
      <w:start w:val="1"/>
      <w:numFmt w:val="bullet"/>
      <w:lvlText w:val="○"/>
      <w:lvlJc w:val="left"/>
      <w:pPr>
        <w:tabs>
          <w:tab w:val="left" w:pos="1814"/>
        </w:tabs>
        <w:ind w:left="1814" w:hanging="226"/>
      </w:pPr>
      <w:rPr>
        <w:rFonts w:ascii="Times New Roman" w:hAnsi="Times New Roman" w:cs="Times New Roman" w:hint="default"/>
      </w:rPr>
    </w:lvl>
    <w:lvl w:ilvl="8">
      <w:start w:val="1"/>
      <w:numFmt w:val="bullet"/>
      <w:lvlText w:val="■"/>
      <w:lvlJc w:val="left"/>
      <w:pPr>
        <w:tabs>
          <w:tab w:val="left" w:pos="2041"/>
        </w:tabs>
        <w:ind w:left="2041" w:hanging="227"/>
      </w:pPr>
      <w:rPr>
        <w:rFonts w:ascii="Times New Roman" w:hAnsi="Times New Roman" w:cs="Times New Roman" w:hint="default"/>
      </w:rPr>
    </w:lvl>
  </w:abstractNum>
  <w:abstractNum w:abstractNumId="345" w15:restartNumberingAfterBreak="0">
    <w:nsid w:val="6F846BEF"/>
    <w:multiLevelType w:val="hybridMultilevel"/>
    <w:tmpl w:val="84182C6C"/>
    <w:lvl w:ilvl="0" w:tplc="4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6FA55A36"/>
    <w:multiLevelType w:val="multilevel"/>
    <w:tmpl w:val="226293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7" w15:restartNumberingAfterBreak="0">
    <w:nsid w:val="6FE44771"/>
    <w:multiLevelType w:val="multilevel"/>
    <w:tmpl w:val="E4AE9E7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8" w15:restartNumberingAfterBreak="0">
    <w:nsid w:val="702F084C"/>
    <w:multiLevelType w:val="hybridMultilevel"/>
    <w:tmpl w:val="739E1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709C5BD6"/>
    <w:multiLevelType w:val="multilevel"/>
    <w:tmpl w:val="C9C06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70A96230"/>
    <w:multiLevelType w:val="hybridMultilevel"/>
    <w:tmpl w:val="28F21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712D1021"/>
    <w:multiLevelType w:val="hybridMultilevel"/>
    <w:tmpl w:val="FC8A04B4"/>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353" w15:restartNumberingAfterBreak="0">
    <w:nsid w:val="714950AC"/>
    <w:multiLevelType w:val="multilevel"/>
    <w:tmpl w:val="4A561202"/>
    <w:lvl w:ilvl="0">
      <w:start w:val="2"/>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9"/>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4" w15:restartNumberingAfterBreak="0">
    <w:nsid w:val="723C4188"/>
    <w:multiLevelType w:val="multilevel"/>
    <w:tmpl w:val="723C4188"/>
    <w:lvl w:ilvl="0">
      <w:start w:val="1"/>
      <w:numFmt w:val="decimal"/>
      <w:lvlText w:val="%1."/>
      <w:lvlJc w:val="left"/>
      <w:pPr>
        <w:ind w:left="920" w:hanging="440"/>
      </w:pPr>
    </w:lvl>
    <w:lvl w:ilvl="1">
      <w:start w:val="3"/>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355" w15:restartNumberingAfterBreak="0">
    <w:nsid w:val="72417EFC"/>
    <w:multiLevelType w:val="multilevel"/>
    <w:tmpl w:val="DB78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731B17CF"/>
    <w:multiLevelType w:val="hybridMultilevel"/>
    <w:tmpl w:val="5C885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735311F1"/>
    <w:multiLevelType w:val="hybridMultilevel"/>
    <w:tmpl w:val="DFFC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735319D4"/>
    <w:multiLevelType w:val="multilevel"/>
    <w:tmpl w:val="1DD62538"/>
    <w:lvl w:ilvl="0">
      <w:start w:val="2"/>
      <w:numFmt w:val="decimal"/>
      <w:lvlText w:val="%1"/>
      <w:lvlJc w:val="left"/>
      <w:pPr>
        <w:ind w:left="480" w:hanging="480"/>
      </w:pPr>
      <w:rPr>
        <w:rFonts w:hint="default"/>
        <w:b/>
        <w:color w:val="000000"/>
      </w:rPr>
    </w:lvl>
    <w:lvl w:ilvl="1">
      <w:start w:val="3"/>
      <w:numFmt w:val="decimal"/>
      <w:lvlText w:val="%1.%2"/>
      <w:lvlJc w:val="left"/>
      <w:pPr>
        <w:ind w:left="660" w:hanging="480"/>
      </w:pPr>
      <w:rPr>
        <w:rFonts w:hint="default"/>
        <w:b/>
        <w:color w:val="000000"/>
      </w:rPr>
    </w:lvl>
    <w:lvl w:ilvl="2">
      <w:start w:val="5"/>
      <w:numFmt w:val="decimal"/>
      <w:lvlText w:val="%1.%2.%3"/>
      <w:lvlJc w:val="left"/>
      <w:pPr>
        <w:ind w:left="1080" w:hanging="720"/>
      </w:pPr>
      <w:rPr>
        <w:rFonts w:hint="default"/>
        <w:b/>
        <w:color w:val="000000"/>
      </w:rPr>
    </w:lvl>
    <w:lvl w:ilvl="3">
      <w:start w:val="1"/>
      <w:numFmt w:val="decimal"/>
      <w:lvlText w:val="%1.%2.%3.%4"/>
      <w:lvlJc w:val="left"/>
      <w:pPr>
        <w:ind w:left="1260" w:hanging="720"/>
      </w:pPr>
      <w:rPr>
        <w:rFonts w:hint="default"/>
        <w:b/>
        <w:color w:val="000000"/>
      </w:rPr>
    </w:lvl>
    <w:lvl w:ilvl="4">
      <w:start w:val="1"/>
      <w:numFmt w:val="decimal"/>
      <w:lvlText w:val="%1.%2.%3.%4.%5"/>
      <w:lvlJc w:val="left"/>
      <w:pPr>
        <w:ind w:left="1800" w:hanging="1080"/>
      </w:pPr>
      <w:rPr>
        <w:rFonts w:hint="default"/>
        <w:b/>
        <w:color w:val="000000"/>
      </w:rPr>
    </w:lvl>
    <w:lvl w:ilvl="5">
      <w:start w:val="1"/>
      <w:numFmt w:val="decimal"/>
      <w:lvlText w:val="%1.%2.%3.%4.%5.%6"/>
      <w:lvlJc w:val="left"/>
      <w:pPr>
        <w:ind w:left="1980" w:hanging="1080"/>
      </w:pPr>
      <w:rPr>
        <w:rFonts w:hint="default"/>
        <w:b/>
        <w:color w:val="000000"/>
      </w:rPr>
    </w:lvl>
    <w:lvl w:ilvl="6">
      <w:start w:val="1"/>
      <w:numFmt w:val="decimal"/>
      <w:lvlText w:val="%1.%2.%3.%4.%5.%6.%7"/>
      <w:lvlJc w:val="left"/>
      <w:pPr>
        <w:ind w:left="2520" w:hanging="1440"/>
      </w:pPr>
      <w:rPr>
        <w:rFonts w:hint="default"/>
        <w:b/>
        <w:color w:val="000000"/>
      </w:rPr>
    </w:lvl>
    <w:lvl w:ilvl="7">
      <w:start w:val="1"/>
      <w:numFmt w:val="decimal"/>
      <w:lvlText w:val="%1.%2.%3.%4.%5.%6.%7.%8"/>
      <w:lvlJc w:val="left"/>
      <w:pPr>
        <w:ind w:left="2700" w:hanging="1440"/>
      </w:pPr>
      <w:rPr>
        <w:rFonts w:hint="default"/>
        <w:b/>
        <w:color w:val="000000"/>
      </w:rPr>
    </w:lvl>
    <w:lvl w:ilvl="8">
      <w:start w:val="1"/>
      <w:numFmt w:val="decimal"/>
      <w:lvlText w:val="%1.%2.%3.%4.%5.%6.%7.%8.%9"/>
      <w:lvlJc w:val="left"/>
      <w:pPr>
        <w:ind w:left="3240" w:hanging="1800"/>
      </w:pPr>
      <w:rPr>
        <w:rFonts w:hint="default"/>
        <w:b/>
        <w:color w:val="000000"/>
      </w:rPr>
    </w:lvl>
  </w:abstractNum>
  <w:abstractNum w:abstractNumId="359" w15:restartNumberingAfterBreak="0">
    <w:nsid w:val="738A4856"/>
    <w:multiLevelType w:val="hybridMultilevel"/>
    <w:tmpl w:val="7E2E1F52"/>
    <w:lvl w:ilvl="0" w:tplc="4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0" w15:restartNumberingAfterBreak="0">
    <w:nsid w:val="73927016"/>
    <w:multiLevelType w:val="hybridMultilevel"/>
    <w:tmpl w:val="2C262B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1" w15:restartNumberingAfterBreak="0">
    <w:nsid w:val="73B83191"/>
    <w:multiLevelType w:val="multilevel"/>
    <w:tmpl w:val="807CA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73D20E9F"/>
    <w:multiLevelType w:val="multilevel"/>
    <w:tmpl w:val="4C26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740C4988"/>
    <w:multiLevelType w:val="multilevel"/>
    <w:tmpl w:val="4E8230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4" w15:restartNumberingAfterBreak="0">
    <w:nsid w:val="74582FE7"/>
    <w:multiLevelType w:val="hybridMultilevel"/>
    <w:tmpl w:val="FA041492"/>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65" w15:restartNumberingAfterBreak="0">
    <w:nsid w:val="74CB5059"/>
    <w:multiLevelType w:val="multilevel"/>
    <w:tmpl w:val="628C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75C42F60"/>
    <w:multiLevelType w:val="multilevel"/>
    <w:tmpl w:val="75C42F60"/>
    <w:lvl w:ilvl="0">
      <w:start w:val="1"/>
      <w:numFmt w:val="decimal"/>
      <w:lvlText w:val="%1."/>
      <w:lvlJc w:val="left"/>
      <w:pPr>
        <w:ind w:left="920" w:hanging="440"/>
      </w:p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367" w15:restartNumberingAfterBreak="0">
    <w:nsid w:val="75D95949"/>
    <w:multiLevelType w:val="hybridMultilevel"/>
    <w:tmpl w:val="386E5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75EE0BB6"/>
    <w:multiLevelType w:val="hybridMultilevel"/>
    <w:tmpl w:val="D33AD59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69" w15:restartNumberingAfterBreak="0">
    <w:nsid w:val="76102488"/>
    <w:multiLevelType w:val="hybridMultilevel"/>
    <w:tmpl w:val="E926D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0" w15:restartNumberingAfterBreak="0">
    <w:nsid w:val="76572825"/>
    <w:multiLevelType w:val="hybridMultilevel"/>
    <w:tmpl w:val="EED88E3C"/>
    <w:lvl w:ilvl="0" w:tplc="68D2DD1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71" w15:restartNumberingAfterBreak="0">
    <w:nsid w:val="76D47F7E"/>
    <w:multiLevelType w:val="multilevel"/>
    <w:tmpl w:val="A64C631A"/>
    <w:lvl w:ilvl="0">
      <w:start w:val="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2" w15:restartNumberingAfterBreak="0">
    <w:nsid w:val="7738779A"/>
    <w:multiLevelType w:val="multilevel"/>
    <w:tmpl w:val="7738779A"/>
    <w:lvl w:ilvl="0">
      <w:start w:val="1"/>
      <w:numFmt w:val="decimal"/>
      <w:pStyle w:val="0heading1"/>
      <w:lvlText w:val="%1"/>
      <w:lvlJc w:val="left"/>
      <w:pPr>
        <w:tabs>
          <w:tab w:val="left" w:pos="567"/>
        </w:tabs>
        <w:ind w:left="567" w:hanging="567"/>
      </w:pPr>
      <w:rPr>
        <w:rFonts w:hint="default"/>
      </w:rPr>
    </w:lvl>
    <w:lvl w:ilvl="1">
      <w:start w:val="1"/>
      <w:numFmt w:val="decimal"/>
      <w:pStyle w:val="0heading2"/>
      <w:lvlText w:val="%1.%2"/>
      <w:lvlJc w:val="left"/>
      <w:pPr>
        <w:tabs>
          <w:tab w:val="left" w:pos="567"/>
        </w:tabs>
        <w:ind w:left="567" w:hanging="567"/>
      </w:pPr>
      <w:rPr>
        <w:rFonts w:hint="default"/>
      </w:rPr>
    </w:lvl>
    <w:lvl w:ilvl="2">
      <w:start w:val="1"/>
      <w:numFmt w:val="decimal"/>
      <w:lvlText w:val="%1.%2.%3"/>
      <w:lvlJc w:val="left"/>
      <w:pPr>
        <w:tabs>
          <w:tab w:val="left" w:pos="851"/>
        </w:tabs>
        <w:ind w:left="851" w:hanging="851"/>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64"/>
        </w:tabs>
        <w:ind w:left="964" w:hanging="964"/>
      </w:pPr>
      <w:rPr>
        <w:rFonts w:ascii="Times New Roman" w:hAnsi="Times New Roman" w:hint="default"/>
        <w:b w:val="0"/>
        <w:i/>
        <w:sz w:val="20"/>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73" w15:restartNumberingAfterBreak="0">
    <w:nsid w:val="77B2184F"/>
    <w:multiLevelType w:val="singleLevel"/>
    <w:tmpl w:val="77B2184F"/>
    <w:lvl w:ilvl="0">
      <w:start w:val="3"/>
      <w:numFmt w:val="decimal"/>
      <w:suff w:val="space"/>
      <w:lvlText w:val="%1."/>
      <w:lvlJc w:val="left"/>
    </w:lvl>
  </w:abstractNum>
  <w:abstractNum w:abstractNumId="374" w15:restartNumberingAfterBreak="0">
    <w:nsid w:val="77C3367D"/>
    <w:multiLevelType w:val="hybridMultilevel"/>
    <w:tmpl w:val="369EADB0"/>
    <w:lvl w:ilvl="0" w:tplc="4409000F">
      <w:start w:val="1"/>
      <w:numFmt w:val="decimal"/>
      <w:lvlText w:val="%1."/>
      <w:lvlJc w:val="left"/>
      <w:pPr>
        <w:ind w:left="786"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75" w15:restartNumberingAfterBreak="0">
    <w:nsid w:val="77CE7B6A"/>
    <w:multiLevelType w:val="hybridMultilevel"/>
    <w:tmpl w:val="C5D405AA"/>
    <w:lvl w:ilvl="0" w:tplc="628876B0">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6" w15:restartNumberingAfterBreak="0">
    <w:nsid w:val="77F4303D"/>
    <w:multiLevelType w:val="hybridMultilevel"/>
    <w:tmpl w:val="F4863CD4"/>
    <w:lvl w:ilvl="0" w:tplc="2A6E260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77" w15:restartNumberingAfterBreak="0">
    <w:nsid w:val="780360FA"/>
    <w:multiLevelType w:val="hybridMultilevel"/>
    <w:tmpl w:val="92AC3990"/>
    <w:lvl w:ilvl="0" w:tplc="43B60C12">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8" w15:restartNumberingAfterBreak="0">
    <w:nsid w:val="78053C79"/>
    <w:multiLevelType w:val="hybridMultilevel"/>
    <w:tmpl w:val="CE923CB4"/>
    <w:lvl w:ilvl="0" w:tplc="8032A2E4">
      <w:start w:val="1"/>
      <w:numFmt w:val="decimal"/>
      <w:lvlText w:val="%1."/>
      <w:lvlJc w:val="left"/>
      <w:pPr>
        <w:ind w:left="720" w:hanging="360"/>
      </w:pPr>
      <w:rPr>
        <w:rFonts w:hint="default"/>
      </w:rPr>
    </w:lvl>
    <w:lvl w:ilvl="1" w:tplc="B1383C76" w:tentative="1">
      <w:start w:val="1"/>
      <w:numFmt w:val="lowerLetter"/>
      <w:lvlText w:val="%2."/>
      <w:lvlJc w:val="left"/>
      <w:pPr>
        <w:ind w:left="1440" w:hanging="360"/>
      </w:pPr>
    </w:lvl>
    <w:lvl w:ilvl="2" w:tplc="C67860C2" w:tentative="1">
      <w:start w:val="1"/>
      <w:numFmt w:val="lowerRoman"/>
      <w:lvlText w:val="%3."/>
      <w:lvlJc w:val="right"/>
      <w:pPr>
        <w:ind w:left="2160" w:hanging="180"/>
      </w:pPr>
    </w:lvl>
    <w:lvl w:ilvl="3" w:tplc="68A4D18E" w:tentative="1">
      <w:start w:val="1"/>
      <w:numFmt w:val="decimal"/>
      <w:lvlText w:val="%4."/>
      <w:lvlJc w:val="left"/>
      <w:pPr>
        <w:ind w:left="2880" w:hanging="360"/>
      </w:pPr>
    </w:lvl>
    <w:lvl w:ilvl="4" w:tplc="D54412CC" w:tentative="1">
      <w:start w:val="1"/>
      <w:numFmt w:val="lowerLetter"/>
      <w:lvlText w:val="%5."/>
      <w:lvlJc w:val="left"/>
      <w:pPr>
        <w:ind w:left="3600" w:hanging="360"/>
      </w:pPr>
    </w:lvl>
    <w:lvl w:ilvl="5" w:tplc="A0AA3134" w:tentative="1">
      <w:start w:val="1"/>
      <w:numFmt w:val="lowerRoman"/>
      <w:lvlText w:val="%6."/>
      <w:lvlJc w:val="right"/>
      <w:pPr>
        <w:ind w:left="4320" w:hanging="180"/>
      </w:pPr>
    </w:lvl>
    <w:lvl w:ilvl="6" w:tplc="0F70841E" w:tentative="1">
      <w:start w:val="1"/>
      <w:numFmt w:val="decimal"/>
      <w:lvlText w:val="%7."/>
      <w:lvlJc w:val="left"/>
      <w:pPr>
        <w:ind w:left="5040" w:hanging="360"/>
      </w:pPr>
    </w:lvl>
    <w:lvl w:ilvl="7" w:tplc="0234C81E" w:tentative="1">
      <w:start w:val="1"/>
      <w:numFmt w:val="lowerLetter"/>
      <w:lvlText w:val="%8."/>
      <w:lvlJc w:val="left"/>
      <w:pPr>
        <w:ind w:left="5760" w:hanging="360"/>
      </w:pPr>
    </w:lvl>
    <w:lvl w:ilvl="8" w:tplc="BF0A777E" w:tentative="1">
      <w:start w:val="1"/>
      <w:numFmt w:val="lowerRoman"/>
      <w:lvlText w:val="%9."/>
      <w:lvlJc w:val="right"/>
      <w:pPr>
        <w:ind w:left="6480" w:hanging="180"/>
      </w:pPr>
    </w:lvl>
  </w:abstractNum>
  <w:abstractNum w:abstractNumId="379" w15:restartNumberingAfterBreak="0">
    <w:nsid w:val="78397896"/>
    <w:multiLevelType w:val="hybridMultilevel"/>
    <w:tmpl w:val="B97EC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79213C63"/>
    <w:multiLevelType w:val="multilevel"/>
    <w:tmpl w:val="CECC1FAA"/>
    <w:lvl w:ilvl="0">
      <w:start w:val="5"/>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1" w15:restartNumberingAfterBreak="0">
    <w:nsid w:val="799340EC"/>
    <w:multiLevelType w:val="hybridMultilevel"/>
    <w:tmpl w:val="E214B94A"/>
    <w:lvl w:ilvl="0" w:tplc="F7CC045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7A0616F2"/>
    <w:multiLevelType w:val="hybridMultilevel"/>
    <w:tmpl w:val="0568DD9C"/>
    <w:lvl w:ilvl="0" w:tplc="3BA0BD3E">
      <w:start w:val="3"/>
      <w:numFmt w:val="decimal"/>
      <w:lvlText w:val="%1."/>
      <w:lvlJc w:val="left"/>
      <w:pPr>
        <w:ind w:left="1080" w:hanging="360"/>
      </w:pPr>
      <w:rPr>
        <w:rFonts w:hint="default"/>
      </w:rPr>
    </w:lvl>
    <w:lvl w:ilvl="1" w:tplc="6722E5F4" w:tentative="1">
      <w:start w:val="1"/>
      <w:numFmt w:val="lowerLetter"/>
      <w:lvlText w:val="%2."/>
      <w:lvlJc w:val="left"/>
      <w:pPr>
        <w:ind w:left="1800" w:hanging="360"/>
      </w:pPr>
    </w:lvl>
    <w:lvl w:ilvl="2" w:tplc="72884ADE" w:tentative="1">
      <w:start w:val="1"/>
      <w:numFmt w:val="lowerRoman"/>
      <w:lvlText w:val="%3."/>
      <w:lvlJc w:val="right"/>
      <w:pPr>
        <w:ind w:left="2520" w:hanging="180"/>
      </w:pPr>
    </w:lvl>
    <w:lvl w:ilvl="3" w:tplc="A90A5828" w:tentative="1">
      <w:start w:val="1"/>
      <w:numFmt w:val="decimal"/>
      <w:lvlText w:val="%4."/>
      <w:lvlJc w:val="left"/>
      <w:pPr>
        <w:ind w:left="3240" w:hanging="360"/>
      </w:pPr>
    </w:lvl>
    <w:lvl w:ilvl="4" w:tplc="53E60AB0" w:tentative="1">
      <w:start w:val="1"/>
      <w:numFmt w:val="lowerLetter"/>
      <w:lvlText w:val="%5."/>
      <w:lvlJc w:val="left"/>
      <w:pPr>
        <w:ind w:left="3960" w:hanging="360"/>
      </w:pPr>
    </w:lvl>
    <w:lvl w:ilvl="5" w:tplc="7E9C8654" w:tentative="1">
      <w:start w:val="1"/>
      <w:numFmt w:val="lowerRoman"/>
      <w:lvlText w:val="%6."/>
      <w:lvlJc w:val="right"/>
      <w:pPr>
        <w:ind w:left="4680" w:hanging="180"/>
      </w:pPr>
    </w:lvl>
    <w:lvl w:ilvl="6" w:tplc="BEB0D686" w:tentative="1">
      <w:start w:val="1"/>
      <w:numFmt w:val="decimal"/>
      <w:lvlText w:val="%7."/>
      <w:lvlJc w:val="left"/>
      <w:pPr>
        <w:ind w:left="5400" w:hanging="360"/>
      </w:pPr>
    </w:lvl>
    <w:lvl w:ilvl="7" w:tplc="819A7AF8" w:tentative="1">
      <w:start w:val="1"/>
      <w:numFmt w:val="lowerLetter"/>
      <w:lvlText w:val="%8."/>
      <w:lvlJc w:val="left"/>
      <w:pPr>
        <w:ind w:left="6120" w:hanging="360"/>
      </w:pPr>
    </w:lvl>
    <w:lvl w:ilvl="8" w:tplc="F2180820" w:tentative="1">
      <w:start w:val="1"/>
      <w:numFmt w:val="lowerRoman"/>
      <w:lvlText w:val="%9."/>
      <w:lvlJc w:val="right"/>
      <w:pPr>
        <w:ind w:left="6840" w:hanging="180"/>
      </w:pPr>
    </w:lvl>
  </w:abstractNum>
  <w:abstractNum w:abstractNumId="383" w15:restartNumberingAfterBreak="0">
    <w:nsid w:val="7A167754"/>
    <w:multiLevelType w:val="hybridMultilevel"/>
    <w:tmpl w:val="476454B0"/>
    <w:lvl w:ilvl="0" w:tplc="0D5285D0">
      <w:start w:val="1"/>
      <w:numFmt w:val="decimal"/>
      <w:lvlText w:val="(%1)"/>
      <w:lvlJc w:val="left"/>
      <w:pPr>
        <w:ind w:left="1800" w:hanging="360"/>
      </w:pPr>
      <w:rPr>
        <w:rFonts w:hint="default"/>
      </w:rPr>
    </w:lvl>
    <w:lvl w:ilvl="1" w:tplc="04090019">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abstractNum w:abstractNumId="384" w15:restartNumberingAfterBreak="0">
    <w:nsid w:val="7A3E61EB"/>
    <w:multiLevelType w:val="multilevel"/>
    <w:tmpl w:val="6E0AF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7A585B3C"/>
    <w:multiLevelType w:val="hybridMultilevel"/>
    <w:tmpl w:val="90DA9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7B274BC8"/>
    <w:multiLevelType w:val="multilevel"/>
    <w:tmpl w:val="7B274BC8"/>
    <w:lvl w:ilvl="0">
      <w:start w:val="1"/>
      <w:numFmt w:val="decimal"/>
      <w:pStyle w:val="numitem"/>
      <w:lvlText w:val="%1."/>
      <w:lvlJc w:val="right"/>
      <w:pPr>
        <w:tabs>
          <w:tab w:val="left" w:pos="0"/>
        </w:tabs>
        <w:ind w:left="227" w:hanging="57"/>
      </w:pPr>
      <w:rPr>
        <w:rFonts w:hint="default"/>
      </w:rPr>
    </w:lvl>
    <w:lvl w:ilvl="1">
      <w:start w:val="1"/>
      <w:numFmt w:val="lowerLetter"/>
      <w:lvlText w:val="%2."/>
      <w:lvlJc w:val="left"/>
      <w:pPr>
        <w:tabs>
          <w:tab w:val="left" w:pos="227"/>
        </w:tabs>
        <w:ind w:left="454" w:hanging="227"/>
      </w:pPr>
      <w:rPr>
        <w:rFonts w:hint="default"/>
      </w:rPr>
    </w:lvl>
    <w:lvl w:ilvl="2">
      <w:start w:val="1"/>
      <w:numFmt w:val="decimal"/>
      <w:lvlText w:val="(%3)"/>
      <w:lvlJc w:val="left"/>
      <w:pPr>
        <w:tabs>
          <w:tab w:val="left" w:pos="454"/>
        </w:tabs>
        <w:ind w:left="794" w:hanging="340"/>
      </w:pPr>
      <w:rPr>
        <w:rFonts w:hint="default"/>
      </w:rPr>
    </w:lvl>
    <w:lvl w:ilvl="3">
      <w:start w:val="1"/>
      <w:numFmt w:val="lowerRoman"/>
      <w:lvlText w:val="%4."/>
      <w:lvlJc w:val="left"/>
      <w:pPr>
        <w:tabs>
          <w:tab w:val="left" w:pos="794"/>
        </w:tabs>
        <w:ind w:left="1077" w:hanging="283"/>
      </w:pPr>
      <w:rPr>
        <w:rFonts w:hint="default"/>
      </w:rPr>
    </w:lvl>
    <w:lvl w:ilvl="4">
      <w:start w:val="1"/>
      <w:numFmt w:val="lowerLetter"/>
      <w:lvlText w:val="(%5)"/>
      <w:lvlJc w:val="left"/>
      <w:pPr>
        <w:tabs>
          <w:tab w:val="left" w:pos="1077"/>
        </w:tabs>
        <w:ind w:left="1360" w:hanging="283"/>
      </w:pPr>
      <w:rPr>
        <w:rFonts w:hint="default"/>
      </w:rPr>
    </w:lvl>
    <w:lvl w:ilvl="5">
      <w:start w:val="1"/>
      <w:numFmt w:val="upperLetter"/>
      <w:lvlText w:val="%6."/>
      <w:lvlJc w:val="left"/>
      <w:pPr>
        <w:tabs>
          <w:tab w:val="left"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7B900E4E"/>
    <w:multiLevelType w:val="multilevel"/>
    <w:tmpl w:val="97E22B3C"/>
    <w:lvl w:ilvl="0">
      <w:start w:val="5"/>
      <w:numFmt w:val="decimal"/>
      <w:lvlText w:val="%1"/>
      <w:lvlJc w:val="left"/>
      <w:pPr>
        <w:ind w:left="540" w:hanging="540"/>
      </w:pPr>
      <w:rPr>
        <w:rFonts w:hint="default"/>
      </w:rPr>
    </w:lvl>
    <w:lvl w:ilvl="1">
      <w:start w:val="2"/>
      <w:numFmt w:val="decimal"/>
      <w:lvlText w:val="4.%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8" w15:restartNumberingAfterBreak="0">
    <w:nsid w:val="7BA53AD3"/>
    <w:multiLevelType w:val="hybridMultilevel"/>
    <w:tmpl w:val="FD589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7BA70F3F"/>
    <w:multiLevelType w:val="hybridMultilevel"/>
    <w:tmpl w:val="3870768C"/>
    <w:lvl w:ilvl="0" w:tplc="4F363066">
      <w:start w:val="1"/>
      <w:numFmt w:val="decimal"/>
      <w:lvlText w:val="%1)"/>
      <w:lvlJc w:val="left"/>
      <w:pPr>
        <w:ind w:left="140" w:hanging="262"/>
      </w:pPr>
      <w:rPr>
        <w:rFonts w:ascii="Times New Roman" w:eastAsia="Times New Roman" w:hAnsi="Times New Roman" w:cs="Times New Roman" w:hint="default"/>
        <w:w w:val="99"/>
        <w:sz w:val="24"/>
        <w:szCs w:val="24"/>
        <w:lang w:val="en-US" w:eastAsia="en-US" w:bidi="ar-SA"/>
      </w:rPr>
    </w:lvl>
    <w:lvl w:ilvl="1" w:tplc="253859DE">
      <w:numFmt w:val="bullet"/>
      <w:lvlText w:val="•"/>
      <w:lvlJc w:val="left"/>
      <w:pPr>
        <w:ind w:left="1063" w:hanging="262"/>
      </w:pPr>
      <w:rPr>
        <w:rFonts w:hint="default"/>
        <w:lang w:val="en-US" w:eastAsia="en-US" w:bidi="ar-SA"/>
      </w:rPr>
    </w:lvl>
    <w:lvl w:ilvl="2" w:tplc="F31E677E">
      <w:numFmt w:val="bullet"/>
      <w:lvlText w:val="•"/>
      <w:lvlJc w:val="left"/>
      <w:pPr>
        <w:ind w:left="1987" w:hanging="262"/>
      </w:pPr>
      <w:rPr>
        <w:rFonts w:hint="default"/>
        <w:lang w:val="en-US" w:eastAsia="en-US" w:bidi="ar-SA"/>
      </w:rPr>
    </w:lvl>
    <w:lvl w:ilvl="3" w:tplc="C526C7B8">
      <w:numFmt w:val="bullet"/>
      <w:lvlText w:val="•"/>
      <w:lvlJc w:val="left"/>
      <w:pPr>
        <w:ind w:left="2911" w:hanging="262"/>
      </w:pPr>
      <w:rPr>
        <w:rFonts w:hint="default"/>
        <w:lang w:val="en-US" w:eastAsia="en-US" w:bidi="ar-SA"/>
      </w:rPr>
    </w:lvl>
    <w:lvl w:ilvl="4" w:tplc="71A8D304">
      <w:numFmt w:val="bullet"/>
      <w:lvlText w:val="•"/>
      <w:lvlJc w:val="left"/>
      <w:pPr>
        <w:ind w:left="3835" w:hanging="262"/>
      </w:pPr>
      <w:rPr>
        <w:rFonts w:hint="default"/>
        <w:lang w:val="en-US" w:eastAsia="en-US" w:bidi="ar-SA"/>
      </w:rPr>
    </w:lvl>
    <w:lvl w:ilvl="5" w:tplc="B5CE53EC">
      <w:numFmt w:val="bullet"/>
      <w:lvlText w:val="•"/>
      <w:lvlJc w:val="left"/>
      <w:pPr>
        <w:ind w:left="4759" w:hanging="262"/>
      </w:pPr>
      <w:rPr>
        <w:rFonts w:hint="default"/>
        <w:lang w:val="en-US" w:eastAsia="en-US" w:bidi="ar-SA"/>
      </w:rPr>
    </w:lvl>
    <w:lvl w:ilvl="6" w:tplc="EA72AEA8">
      <w:numFmt w:val="bullet"/>
      <w:lvlText w:val="•"/>
      <w:lvlJc w:val="left"/>
      <w:pPr>
        <w:ind w:left="5683" w:hanging="262"/>
      </w:pPr>
      <w:rPr>
        <w:rFonts w:hint="default"/>
        <w:lang w:val="en-US" w:eastAsia="en-US" w:bidi="ar-SA"/>
      </w:rPr>
    </w:lvl>
    <w:lvl w:ilvl="7" w:tplc="094C26BC">
      <w:numFmt w:val="bullet"/>
      <w:lvlText w:val="•"/>
      <w:lvlJc w:val="left"/>
      <w:pPr>
        <w:ind w:left="6607" w:hanging="262"/>
      </w:pPr>
      <w:rPr>
        <w:rFonts w:hint="default"/>
        <w:lang w:val="en-US" w:eastAsia="en-US" w:bidi="ar-SA"/>
      </w:rPr>
    </w:lvl>
    <w:lvl w:ilvl="8" w:tplc="73BEB15A">
      <w:numFmt w:val="bullet"/>
      <w:lvlText w:val="•"/>
      <w:lvlJc w:val="left"/>
      <w:pPr>
        <w:ind w:left="7531" w:hanging="262"/>
      </w:pPr>
      <w:rPr>
        <w:rFonts w:hint="default"/>
        <w:lang w:val="en-US" w:eastAsia="en-US" w:bidi="ar-SA"/>
      </w:rPr>
    </w:lvl>
  </w:abstractNum>
  <w:abstractNum w:abstractNumId="390" w15:restartNumberingAfterBreak="0">
    <w:nsid w:val="7C2A319D"/>
    <w:multiLevelType w:val="hybridMultilevel"/>
    <w:tmpl w:val="A2F0660C"/>
    <w:lvl w:ilvl="0" w:tplc="E6947734">
      <w:numFmt w:val="bullet"/>
      <w:lvlText w:val=""/>
      <w:lvlJc w:val="left"/>
      <w:pPr>
        <w:ind w:left="750" w:hanging="39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1" w15:restartNumberingAfterBreak="0">
    <w:nsid w:val="7C8C56FC"/>
    <w:multiLevelType w:val="multilevel"/>
    <w:tmpl w:val="7204715C"/>
    <w:lvl w:ilvl="0">
      <w:start w:val="1"/>
      <w:numFmt w:val="decimal"/>
      <w:lvlText w:val="%1."/>
      <w:lvlJc w:val="left"/>
      <w:pPr>
        <w:ind w:left="630" w:hanging="360"/>
      </w:pPr>
      <w:rPr>
        <w:rFonts w:hint="default"/>
      </w:rPr>
    </w:lvl>
    <w:lvl w:ilvl="1">
      <w:start w:val="1"/>
      <w:numFmt w:val="decimal"/>
      <w:isLgl/>
      <w:lvlText w:val="%1.%2"/>
      <w:lvlJc w:val="left"/>
      <w:pPr>
        <w:ind w:left="720" w:hanging="36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2" w15:restartNumberingAfterBreak="0">
    <w:nsid w:val="7CE65EDC"/>
    <w:multiLevelType w:val="hybridMultilevel"/>
    <w:tmpl w:val="AC7A4D50"/>
    <w:lvl w:ilvl="0" w:tplc="92A68272">
      <w:start w:val="1"/>
      <w:numFmt w:val="lowerRoman"/>
      <w:lvlText w:val="%1."/>
      <w:lvlJc w:val="right"/>
      <w:pPr>
        <w:ind w:left="720" w:hanging="360"/>
      </w:pPr>
    </w:lvl>
    <w:lvl w:ilvl="1" w:tplc="C8F63E4C" w:tentative="1">
      <w:start w:val="1"/>
      <w:numFmt w:val="lowerLetter"/>
      <w:lvlText w:val="%2."/>
      <w:lvlJc w:val="left"/>
      <w:pPr>
        <w:ind w:left="1440" w:hanging="360"/>
      </w:pPr>
    </w:lvl>
    <w:lvl w:ilvl="2" w:tplc="3E92B250" w:tentative="1">
      <w:start w:val="1"/>
      <w:numFmt w:val="lowerRoman"/>
      <w:lvlText w:val="%3."/>
      <w:lvlJc w:val="right"/>
      <w:pPr>
        <w:ind w:left="2160" w:hanging="180"/>
      </w:pPr>
    </w:lvl>
    <w:lvl w:ilvl="3" w:tplc="4CC82CEC" w:tentative="1">
      <w:start w:val="1"/>
      <w:numFmt w:val="decimal"/>
      <w:lvlText w:val="%4."/>
      <w:lvlJc w:val="left"/>
      <w:pPr>
        <w:ind w:left="2880" w:hanging="360"/>
      </w:pPr>
    </w:lvl>
    <w:lvl w:ilvl="4" w:tplc="D1C4EBAC" w:tentative="1">
      <w:start w:val="1"/>
      <w:numFmt w:val="lowerLetter"/>
      <w:lvlText w:val="%5."/>
      <w:lvlJc w:val="left"/>
      <w:pPr>
        <w:ind w:left="3600" w:hanging="360"/>
      </w:pPr>
    </w:lvl>
    <w:lvl w:ilvl="5" w:tplc="AD844224" w:tentative="1">
      <w:start w:val="1"/>
      <w:numFmt w:val="lowerRoman"/>
      <w:lvlText w:val="%6."/>
      <w:lvlJc w:val="right"/>
      <w:pPr>
        <w:ind w:left="4320" w:hanging="180"/>
      </w:pPr>
    </w:lvl>
    <w:lvl w:ilvl="6" w:tplc="DD62A35E" w:tentative="1">
      <w:start w:val="1"/>
      <w:numFmt w:val="decimal"/>
      <w:lvlText w:val="%7."/>
      <w:lvlJc w:val="left"/>
      <w:pPr>
        <w:ind w:left="5040" w:hanging="360"/>
      </w:pPr>
    </w:lvl>
    <w:lvl w:ilvl="7" w:tplc="BA12F4C0" w:tentative="1">
      <w:start w:val="1"/>
      <w:numFmt w:val="lowerLetter"/>
      <w:lvlText w:val="%8."/>
      <w:lvlJc w:val="left"/>
      <w:pPr>
        <w:ind w:left="5760" w:hanging="360"/>
      </w:pPr>
    </w:lvl>
    <w:lvl w:ilvl="8" w:tplc="17486E02" w:tentative="1">
      <w:start w:val="1"/>
      <w:numFmt w:val="lowerRoman"/>
      <w:lvlText w:val="%9."/>
      <w:lvlJc w:val="right"/>
      <w:pPr>
        <w:ind w:left="6480" w:hanging="180"/>
      </w:pPr>
    </w:lvl>
  </w:abstractNum>
  <w:abstractNum w:abstractNumId="393" w15:restartNumberingAfterBreak="0">
    <w:nsid w:val="7D877EAF"/>
    <w:multiLevelType w:val="hybridMultilevel"/>
    <w:tmpl w:val="B41E54F2"/>
    <w:lvl w:ilvl="0" w:tplc="3D6E314E">
      <w:start w:val="1"/>
      <w:numFmt w:val="lowerLetter"/>
      <w:lvlText w:val="%1."/>
      <w:lvlJc w:val="left"/>
      <w:pPr>
        <w:ind w:left="1305" w:hanging="360"/>
      </w:pPr>
      <w:rPr>
        <w:rFonts w:hint="default"/>
        <w:w w:val="100"/>
        <w:lang w:val="en-US" w:eastAsia="en-US" w:bidi="ar-SA"/>
      </w:rPr>
    </w:lvl>
    <w:lvl w:ilvl="1" w:tplc="F8009F46">
      <w:numFmt w:val="bullet"/>
      <w:lvlText w:val="•"/>
      <w:lvlJc w:val="left"/>
      <w:pPr>
        <w:ind w:left="2166" w:hanging="360"/>
      </w:pPr>
      <w:rPr>
        <w:rFonts w:hint="default"/>
        <w:lang w:val="en-US" w:eastAsia="en-US" w:bidi="ar-SA"/>
      </w:rPr>
    </w:lvl>
    <w:lvl w:ilvl="2" w:tplc="DC52CA66">
      <w:numFmt w:val="bullet"/>
      <w:lvlText w:val="•"/>
      <w:lvlJc w:val="left"/>
      <w:pPr>
        <w:ind w:left="3032" w:hanging="360"/>
      </w:pPr>
      <w:rPr>
        <w:rFonts w:hint="default"/>
        <w:lang w:val="en-US" w:eastAsia="en-US" w:bidi="ar-SA"/>
      </w:rPr>
    </w:lvl>
    <w:lvl w:ilvl="3" w:tplc="2D660AA2">
      <w:numFmt w:val="bullet"/>
      <w:lvlText w:val="•"/>
      <w:lvlJc w:val="left"/>
      <w:pPr>
        <w:ind w:left="3899" w:hanging="360"/>
      </w:pPr>
      <w:rPr>
        <w:rFonts w:hint="default"/>
        <w:lang w:val="en-US" w:eastAsia="en-US" w:bidi="ar-SA"/>
      </w:rPr>
    </w:lvl>
    <w:lvl w:ilvl="4" w:tplc="44781E52">
      <w:numFmt w:val="bullet"/>
      <w:lvlText w:val="•"/>
      <w:lvlJc w:val="left"/>
      <w:pPr>
        <w:ind w:left="4765" w:hanging="360"/>
      </w:pPr>
      <w:rPr>
        <w:rFonts w:hint="default"/>
        <w:lang w:val="en-US" w:eastAsia="en-US" w:bidi="ar-SA"/>
      </w:rPr>
    </w:lvl>
    <w:lvl w:ilvl="5" w:tplc="A7D2CBBE">
      <w:numFmt w:val="bullet"/>
      <w:lvlText w:val="•"/>
      <w:lvlJc w:val="left"/>
      <w:pPr>
        <w:ind w:left="5632" w:hanging="360"/>
      </w:pPr>
      <w:rPr>
        <w:rFonts w:hint="default"/>
        <w:lang w:val="en-US" w:eastAsia="en-US" w:bidi="ar-SA"/>
      </w:rPr>
    </w:lvl>
    <w:lvl w:ilvl="6" w:tplc="B08EAEE4">
      <w:numFmt w:val="bullet"/>
      <w:lvlText w:val="•"/>
      <w:lvlJc w:val="left"/>
      <w:pPr>
        <w:ind w:left="6498" w:hanging="360"/>
      </w:pPr>
      <w:rPr>
        <w:rFonts w:hint="default"/>
        <w:lang w:val="en-US" w:eastAsia="en-US" w:bidi="ar-SA"/>
      </w:rPr>
    </w:lvl>
    <w:lvl w:ilvl="7" w:tplc="F76C7958">
      <w:numFmt w:val="bullet"/>
      <w:lvlText w:val="•"/>
      <w:lvlJc w:val="left"/>
      <w:pPr>
        <w:ind w:left="7364" w:hanging="360"/>
      </w:pPr>
      <w:rPr>
        <w:rFonts w:hint="default"/>
        <w:lang w:val="en-US" w:eastAsia="en-US" w:bidi="ar-SA"/>
      </w:rPr>
    </w:lvl>
    <w:lvl w:ilvl="8" w:tplc="9BB059A8">
      <w:numFmt w:val="bullet"/>
      <w:lvlText w:val="•"/>
      <w:lvlJc w:val="left"/>
      <w:pPr>
        <w:ind w:left="8231" w:hanging="360"/>
      </w:pPr>
      <w:rPr>
        <w:rFonts w:hint="default"/>
        <w:lang w:val="en-US" w:eastAsia="en-US" w:bidi="ar-SA"/>
      </w:rPr>
    </w:lvl>
  </w:abstractNum>
  <w:abstractNum w:abstractNumId="394" w15:restartNumberingAfterBreak="0">
    <w:nsid w:val="7D9521C8"/>
    <w:multiLevelType w:val="multilevel"/>
    <w:tmpl w:val="7D9521C8"/>
    <w:lvl w:ilvl="0">
      <w:start w:val="1"/>
      <w:numFmt w:val="decimal"/>
      <w:pStyle w:val="referenceitem"/>
      <w:lvlText w:val="%1."/>
      <w:lvlJc w:val="right"/>
      <w:pPr>
        <w:tabs>
          <w:tab w:val="left" w:pos="965"/>
        </w:tabs>
        <w:ind w:left="965" w:hanging="114"/>
      </w:pPr>
      <w:rPr>
        <w:rFonts w:hint="default"/>
      </w:rPr>
    </w:lvl>
    <w:lvl w:ilvl="1">
      <w:start w:val="1"/>
      <w:numFmt w:val="lowerLetter"/>
      <w:lvlText w:val="%2."/>
      <w:lvlJc w:val="left"/>
      <w:pPr>
        <w:tabs>
          <w:tab w:val="left" w:pos="2520"/>
        </w:tabs>
        <w:ind w:left="2520" w:hanging="360"/>
      </w:pPr>
      <w:rPr>
        <w:rFonts w:hint="default"/>
      </w:rPr>
    </w:lvl>
    <w:lvl w:ilvl="2">
      <w:start w:val="1"/>
      <w:numFmt w:val="lowerRoman"/>
      <w:lvlText w:val="%3."/>
      <w:lvlJc w:val="right"/>
      <w:pPr>
        <w:tabs>
          <w:tab w:val="left" w:pos="3240"/>
        </w:tabs>
        <w:ind w:left="3240" w:hanging="180"/>
      </w:pPr>
      <w:rPr>
        <w:rFonts w:hint="default"/>
      </w:rPr>
    </w:lvl>
    <w:lvl w:ilvl="3">
      <w:start w:val="1"/>
      <w:numFmt w:val="decimal"/>
      <w:lvlText w:val="%4."/>
      <w:lvlJc w:val="left"/>
      <w:pPr>
        <w:tabs>
          <w:tab w:val="left" w:pos="3960"/>
        </w:tabs>
        <w:ind w:left="3960" w:hanging="360"/>
      </w:pPr>
      <w:rPr>
        <w:rFonts w:hint="default"/>
      </w:rPr>
    </w:lvl>
    <w:lvl w:ilvl="4">
      <w:start w:val="1"/>
      <w:numFmt w:val="lowerLetter"/>
      <w:lvlText w:val="%5."/>
      <w:lvlJc w:val="left"/>
      <w:pPr>
        <w:tabs>
          <w:tab w:val="left" w:pos="4680"/>
        </w:tabs>
        <w:ind w:left="4680" w:hanging="360"/>
      </w:pPr>
      <w:rPr>
        <w:rFonts w:hint="default"/>
      </w:rPr>
    </w:lvl>
    <w:lvl w:ilvl="5">
      <w:start w:val="1"/>
      <w:numFmt w:val="lowerRoman"/>
      <w:lvlText w:val="%6."/>
      <w:lvlJc w:val="right"/>
      <w:pPr>
        <w:tabs>
          <w:tab w:val="left" w:pos="5400"/>
        </w:tabs>
        <w:ind w:left="5400" w:hanging="180"/>
      </w:pPr>
      <w:rPr>
        <w:rFonts w:hint="default"/>
      </w:rPr>
    </w:lvl>
    <w:lvl w:ilvl="6">
      <w:start w:val="1"/>
      <w:numFmt w:val="decimal"/>
      <w:lvlText w:val="%7."/>
      <w:lvlJc w:val="left"/>
      <w:pPr>
        <w:tabs>
          <w:tab w:val="left" w:pos="6120"/>
        </w:tabs>
        <w:ind w:left="6120" w:hanging="360"/>
      </w:pPr>
      <w:rPr>
        <w:rFonts w:hint="default"/>
      </w:rPr>
    </w:lvl>
    <w:lvl w:ilvl="7">
      <w:start w:val="1"/>
      <w:numFmt w:val="lowerLetter"/>
      <w:lvlText w:val="%8."/>
      <w:lvlJc w:val="left"/>
      <w:pPr>
        <w:tabs>
          <w:tab w:val="left" w:pos="6840"/>
        </w:tabs>
        <w:ind w:left="6840" w:hanging="360"/>
      </w:pPr>
      <w:rPr>
        <w:rFonts w:hint="default"/>
      </w:rPr>
    </w:lvl>
    <w:lvl w:ilvl="8">
      <w:start w:val="1"/>
      <w:numFmt w:val="lowerRoman"/>
      <w:lvlText w:val="%9."/>
      <w:lvlJc w:val="right"/>
      <w:pPr>
        <w:tabs>
          <w:tab w:val="left" w:pos="7560"/>
        </w:tabs>
        <w:ind w:left="7560" w:hanging="180"/>
      </w:pPr>
      <w:rPr>
        <w:rFonts w:hint="default"/>
      </w:rPr>
    </w:lvl>
  </w:abstractNum>
  <w:abstractNum w:abstractNumId="395" w15:restartNumberingAfterBreak="0">
    <w:nsid w:val="7DD9F5E8"/>
    <w:multiLevelType w:val="singleLevel"/>
    <w:tmpl w:val="7DD9F5E8"/>
    <w:lvl w:ilvl="0">
      <w:start w:val="1"/>
      <w:numFmt w:val="decimal"/>
      <w:suff w:val="space"/>
      <w:lvlText w:val="%1."/>
      <w:lvlJc w:val="left"/>
    </w:lvl>
  </w:abstractNum>
  <w:abstractNum w:abstractNumId="396" w15:restartNumberingAfterBreak="0">
    <w:nsid w:val="7E642715"/>
    <w:multiLevelType w:val="multilevel"/>
    <w:tmpl w:val="29C23B1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7" w15:restartNumberingAfterBreak="0">
    <w:nsid w:val="7E7C1F60"/>
    <w:multiLevelType w:val="hybridMultilevel"/>
    <w:tmpl w:val="02468060"/>
    <w:lvl w:ilvl="0" w:tplc="885E030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98" w15:restartNumberingAfterBreak="0">
    <w:nsid w:val="7F3E4B39"/>
    <w:multiLevelType w:val="hybridMultilevel"/>
    <w:tmpl w:val="39B8A6BA"/>
    <w:lvl w:ilvl="0" w:tplc="D04CAE94">
      <w:start w:val="1"/>
      <w:numFmt w:val="bullet"/>
      <w:lvlText w:val=""/>
      <w:lvlJc w:val="left"/>
      <w:pPr>
        <w:ind w:left="720" w:hanging="360"/>
      </w:pPr>
      <w:rPr>
        <w:rFonts w:ascii="Symbol" w:hAnsi="Symbol" w:hint="default"/>
      </w:rPr>
    </w:lvl>
    <w:lvl w:ilvl="1" w:tplc="FB1CF140" w:tentative="1">
      <w:start w:val="1"/>
      <w:numFmt w:val="bullet"/>
      <w:lvlText w:val="o"/>
      <w:lvlJc w:val="left"/>
      <w:pPr>
        <w:ind w:left="1440" w:hanging="360"/>
      </w:pPr>
      <w:rPr>
        <w:rFonts w:ascii="Courier New" w:hAnsi="Courier New" w:cs="Courier New" w:hint="default"/>
      </w:rPr>
    </w:lvl>
    <w:lvl w:ilvl="2" w:tplc="CD6C3D32" w:tentative="1">
      <w:start w:val="1"/>
      <w:numFmt w:val="bullet"/>
      <w:lvlText w:val=""/>
      <w:lvlJc w:val="left"/>
      <w:pPr>
        <w:ind w:left="2160" w:hanging="360"/>
      </w:pPr>
      <w:rPr>
        <w:rFonts w:ascii="Wingdings" w:hAnsi="Wingdings" w:hint="default"/>
      </w:rPr>
    </w:lvl>
    <w:lvl w:ilvl="3" w:tplc="F3D4BA90" w:tentative="1">
      <w:start w:val="1"/>
      <w:numFmt w:val="bullet"/>
      <w:lvlText w:val=""/>
      <w:lvlJc w:val="left"/>
      <w:pPr>
        <w:ind w:left="2880" w:hanging="360"/>
      </w:pPr>
      <w:rPr>
        <w:rFonts w:ascii="Symbol" w:hAnsi="Symbol" w:hint="default"/>
      </w:rPr>
    </w:lvl>
    <w:lvl w:ilvl="4" w:tplc="C4462946" w:tentative="1">
      <w:start w:val="1"/>
      <w:numFmt w:val="bullet"/>
      <w:lvlText w:val="o"/>
      <w:lvlJc w:val="left"/>
      <w:pPr>
        <w:ind w:left="3600" w:hanging="360"/>
      </w:pPr>
      <w:rPr>
        <w:rFonts w:ascii="Courier New" w:hAnsi="Courier New" w:cs="Courier New" w:hint="default"/>
      </w:rPr>
    </w:lvl>
    <w:lvl w:ilvl="5" w:tplc="BF0EF4F8" w:tentative="1">
      <w:start w:val="1"/>
      <w:numFmt w:val="bullet"/>
      <w:lvlText w:val=""/>
      <w:lvlJc w:val="left"/>
      <w:pPr>
        <w:ind w:left="4320" w:hanging="360"/>
      </w:pPr>
      <w:rPr>
        <w:rFonts w:ascii="Wingdings" w:hAnsi="Wingdings" w:hint="default"/>
      </w:rPr>
    </w:lvl>
    <w:lvl w:ilvl="6" w:tplc="88BAC66E" w:tentative="1">
      <w:start w:val="1"/>
      <w:numFmt w:val="bullet"/>
      <w:lvlText w:val=""/>
      <w:lvlJc w:val="left"/>
      <w:pPr>
        <w:ind w:left="5040" w:hanging="360"/>
      </w:pPr>
      <w:rPr>
        <w:rFonts w:ascii="Symbol" w:hAnsi="Symbol" w:hint="default"/>
      </w:rPr>
    </w:lvl>
    <w:lvl w:ilvl="7" w:tplc="0EAC46C4" w:tentative="1">
      <w:start w:val="1"/>
      <w:numFmt w:val="bullet"/>
      <w:lvlText w:val="o"/>
      <w:lvlJc w:val="left"/>
      <w:pPr>
        <w:ind w:left="5760" w:hanging="360"/>
      </w:pPr>
      <w:rPr>
        <w:rFonts w:ascii="Courier New" w:hAnsi="Courier New" w:cs="Courier New" w:hint="default"/>
      </w:rPr>
    </w:lvl>
    <w:lvl w:ilvl="8" w:tplc="5D3C566E" w:tentative="1">
      <w:start w:val="1"/>
      <w:numFmt w:val="bullet"/>
      <w:lvlText w:val=""/>
      <w:lvlJc w:val="left"/>
      <w:pPr>
        <w:ind w:left="6480" w:hanging="360"/>
      </w:pPr>
      <w:rPr>
        <w:rFonts w:ascii="Wingdings" w:hAnsi="Wingdings" w:hint="default"/>
      </w:rPr>
    </w:lvl>
  </w:abstractNum>
  <w:abstractNum w:abstractNumId="399" w15:restartNumberingAfterBreak="0">
    <w:nsid w:val="7F5A7A7F"/>
    <w:multiLevelType w:val="hybridMultilevel"/>
    <w:tmpl w:val="4B9623F8"/>
    <w:lvl w:ilvl="0" w:tplc="D17C3DAA">
      <w:start w:val="1"/>
      <w:numFmt w:val="bullet"/>
      <w:lvlText w:val=""/>
      <w:lvlJc w:val="left"/>
      <w:pPr>
        <w:ind w:left="720" w:hanging="360"/>
      </w:pPr>
      <w:rPr>
        <w:rFonts w:ascii="Symbol" w:hAnsi="Symbol" w:hint="default"/>
      </w:rPr>
    </w:lvl>
    <w:lvl w:ilvl="1" w:tplc="165C2188" w:tentative="1">
      <w:start w:val="1"/>
      <w:numFmt w:val="bullet"/>
      <w:lvlText w:val="o"/>
      <w:lvlJc w:val="left"/>
      <w:pPr>
        <w:ind w:left="1440" w:hanging="360"/>
      </w:pPr>
      <w:rPr>
        <w:rFonts w:ascii="Courier New" w:hAnsi="Courier New" w:cs="Courier New" w:hint="default"/>
      </w:rPr>
    </w:lvl>
    <w:lvl w:ilvl="2" w:tplc="D8FCCE78" w:tentative="1">
      <w:start w:val="1"/>
      <w:numFmt w:val="bullet"/>
      <w:lvlText w:val=""/>
      <w:lvlJc w:val="left"/>
      <w:pPr>
        <w:ind w:left="2160" w:hanging="360"/>
      </w:pPr>
      <w:rPr>
        <w:rFonts w:ascii="Wingdings" w:hAnsi="Wingdings" w:hint="default"/>
      </w:rPr>
    </w:lvl>
    <w:lvl w:ilvl="3" w:tplc="584E3E48" w:tentative="1">
      <w:start w:val="1"/>
      <w:numFmt w:val="bullet"/>
      <w:lvlText w:val=""/>
      <w:lvlJc w:val="left"/>
      <w:pPr>
        <w:ind w:left="2880" w:hanging="360"/>
      </w:pPr>
      <w:rPr>
        <w:rFonts w:ascii="Symbol" w:hAnsi="Symbol" w:hint="default"/>
      </w:rPr>
    </w:lvl>
    <w:lvl w:ilvl="4" w:tplc="DD7C7532" w:tentative="1">
      <w:start w:val="1"/>
      <w:numFmt w:val="bullet"/>
      <w:lvlText w:val="o"/>
      <w:lvlJc w:val="left"/>
      <w:pPr>
        <w:ind w:left="3600" w:hanging="360"/>
      </w:pPr>
      <w:rPr>
        <w:rFonts w:ascii="Courier New" w:hAnsi="Courier New" w:cs="Courier New" w:hint="default"/>
      </w:rPr>
    </w:lvl>
    <w:lvl w:ilvl="5" w:tplc="7D882A94" w:tentative="1">
      <w:start w:val="1"/>
      <w:numFmt w:val="bullet"/>
      <w:lvlText w:val=""/>
      <w:lvlJc w:val="left"/>
      <w:pPr>
        <w:ind w:left="4320" w:hanging="360"/>
      </w:pPr>
      <w:rPr>
        <w:rFonts w:ascii="Wingdings" w:hAnsi="Wingdings" w:hint="default"/>
      </w:rPr>
    </w:lvl>
    <w:lvl w:ilvl="6" w:tplc="B5F4F276" w:tentative="1">
      <w:start w:val="1"/>
      <w:numFmt w:val="bullet"/>
      <w:lvlText w:val=""/>
      <w:lvlJc w:val="left"/>
      <w:pPr>
        <w:ind w:left="5040" w:hanging="360"/>
      </w:pPr>
      <w:rPr>
        <w:rFonts w:ascii="Symbol" w:hAnsi="Symbol" w:hint="default"/>
      </w:rPr>
    </w:lvl>
    <w:lvl w:ilvl="7" w:tplc="2640E290" w:tentative="1">
      <w:start w:val="1"/>
      <w:numFmt w:val="bullet"/>
      <w:lvlText w:val="o"/>
      <w:lvlJc w:val="left"/>
      <w:pPr>
        <w:ind w:left="5760" w:hanging="360"/>
      </w:pPr>
      <w:rPr>
        <w:rFonts w:ascii="Courier New" w:hAnsi="Courier New" w:cs="Courier New" w:hint="default"/>
      </w:rPr>
    </w:lvl>
    <w:lvl w:ilvl="8" w:tplc="662C3BB6" w:tentative="1">
      <w:start w:val="1"/>
      <w:numFmt w:val="bullet"/>
      <w:lvlText w:val=""/>
      <w:lvlJc w:val="left"/>
      <w:pPr>
        <w:ind w:left="6480" w:hanging="360"/>
      </w:pPr>
      <w:rPr>
        <w:rFonts w:ascii="Wingdings" w:hAnsi="Wingdings" w:hint="default"/>
      </w:rPr>
    </w:lvl>
  </w:abstractNum>
  <w:abstractNum w:abstractNumId="400" w15:restartNumberingAfterBreak="0">
    <w:nsid w:val="7F9F5538"/>
    <w:multiLevelType w:val="hybridMultilevel"/>
    <w:tmpl w:val="776CF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7FB4040E"/>
    <w:multiLevelType w:val="multilevel"/>
    <w:tmpl w:val="604EF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7FDA18ED"/>
    <w:multiLevelType w:val="hybridMultilevel"/>
    <w:tmpl w:val="224E73F6"/>
    <w:lvl w:ilvl="0" w:tplc="0972C6E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03" w15:restartNumberingAfterBreak="0">
    <w:nsid w:val="7FF9536A"/>
    <w:multiLevelType w:val="hybridMultilevel"/>
    <w:tmpl w:val="F404D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4964447">
    <w:abstractNumId w:val="343"/>
    <w:lvlOverride w:ilvl="0">
      <w:startOverride w:val="1"/>
    </w:lvlOverride>
  </w:num>
  <w:num w:numId="2" w16cid:durableId="643436422">
    <w:abstractNumId w:val="146"/>
  </w:num>
  <w:num w:numId="3" w16cid:durableId="1713994807">
    <w:abstractNumId w:val="270"/>
  </w:num>
  <w:num w:numId="4" w16cid:durableId="1163203918">
    <w:abstractNumId w:val="15"/>
  </w:num>
  <w:num w:numId="5" w16cid:durableId="560484645">
    <w:abstractNumId w:val="119"/>
  </w:num>
  <w:num w:numId="6" w16cid:durableId="365330325">
    <w:abstractNumId w:val="0"/>
  </w:num>
  <w:num w:numId="7" w16cid:durableId="1700086390">
    <w:abstractNumId w:val="372"/>
  </w:num>
  <w:num w:numId="8" w16cid:durableId="1405954408">
    <w:abstractNumId w:val="193"/>
  </w:num>
  <w:num w:numId="9" w16cid:durableId="572011361">
    <w:abstractNumId w:val="286"/>
  </w:num>
  <w:num w:numId="10" w16cid:durableId="930509176">
    <w:abstractNumId w:val="394"/>
  </w:num>
  <w:num w:numId="11" w16cid:durableId="1928420927">
    <w:abstractNumId w:val="104"/>
  </w:num>
  <w:num w:numId="12" w16cid:durableId="1180123908">
    <w:abstractNumId w:val="344"/>
  </w:num>
  <w:num w:numId="13" w16cid:durableId="794568166">
    <w:abstractNumId w:val="386"/>
  </w:num>
  <w:num w:numId="14" w16cid:durableId="444495614">
    <w:abstractNumId w:val="335"/>
  </w:num>
  <w:num w:numId="15" w16cid:durableId="605772995">
    <w:abstractNumId w:val="250"/>
  </w:num>
  <w:num w:numId="16" w16cid:durableId="1352098899">
    <w:abstractNumId w:val="236"/>
  </w:num>
  <w:num w:numId="17" w16cid:durableId="92357336">
    <w:abstractNumId w:val="55"/>
  </w:num>
  <w:num w:numId="18" w16cid:durableId="1415400180">
    <w:abstractNumId w:val="45"/>
  </w:num>
  <w:num w:numId="19" w16cid:durableId="1635019055">
    <w:abstractNumId w:val="395"/>
  </w:num>
  <w:num w:numId="20" w16cid:durableId="1002901917">
    <w:abstractNumId w:val="5"/>
  </w:num>
  <w:num w:numId="21" w16cid:durableId="1874540225">
    <w:abstractNumId w:val="160"/>
  </w:num>
  <w:num w:numId="22" w16cid:durableId="1381248420">
    <w:abstractNumId w:val="359"/>
  </w:num>
  <w:num w:numId="23" w16cid:durableId="1952858182">
    <w:abstractNumId w:val="377"/>
  </w:num>
  <w:num w:numId="24" w16cid:durableId="511408639">
    <w:abstractNumId w:val="48"/>
  </w:num>
  <w:num w:numId="25" w16cid:durableId="920018235">
    <w:abstractNumId w:val="117"/>
  </w:num>
  <w:num w:numId="26" w16cid:durableId="366377285">
    <w:abstractNumId w:val="28"/>
  </w:num>
  <w:num w:numId="27" w16cid:durableId="457990387">
    <w:abstractNumId w:val="248"/>
  </w:num>
  <w:num w:numId="28" w16cid:durableId="848369494">
    <w:abstractNumId w:val="61"/>
  </w:num>
  <w:num w:numId="29" w16cid:durableId="1731147562">
    <w:abstractNumId w:val="273"/>
  </w:num>
  <w:num w:numId="30" w16cid:durableId="128979419">
    <w:abstractNumId w:val="51"/>
  </w:num>
  <w:num w:numId="31" w16cid:durableId="1205557817">
    <w:abstractNumId w:val="390"/>
  </w:num>
  <w:num w:numId="32" w16cid:durableId="584192045">
    <w:abstractNumId w:val="200"/>
  </w:num>
  <w:num w:numId="33" w16cid:durableId="417562543">
    <w:abstractNumId w:val="127"/>
  </w:num>
  <w:num w:numId="34" w16cid:durableId="231697694">
    <w:abstractNumId w:val="71"/>
  </w:num>
  <w:num w:numId="35" w16cid:durableId="487866710">
    <w:abstractNumId w:val="145"/>
  </w:num>
  <w:num w:numId="36" w16cid:durableId="347219339">
    <w:abstractNumId w:val="365"/>
  </w:num>
  <w:num w:numId="37" w16cid:durableId="1078671393">
    <w:abstractNumId w:val="76"/>
  </w:num>
  <w:num w:numId="38" w16cid:durableId="1489665736">
    <w:abstractNumId w:val="67"/>
  </w:num>
  <w:num w:numId="39" w16cid:durableId="1936014578">
    <w:abstractNumId w:val="363"/>
  </w:num>
  <w:num w:numId="40" w16cid:durableId="211114138">
    <w:abstractNumId w:val="256"/>
  </w:num>
  <w:num w:numId="41" w16cid:durableId="1299725583">
    <w:abstractNumId w:val="260"/>
  </w:num>
  <w:num w:numId="42" w16cid:durableId="2058429483">
    <w:abstractNumId w:val="212"/>
  </w:num>
  <w:num w:numId="43" w16cid:durableId="1975789516">
    <w:abstractNumId w:val="196"/>
  </w:num>
  <w:num w:numId="44" w16cid:durableId="1412700492">
    <w:abstractNumId w:val="243"/>
  </w:num>
  <w:num w:numId="45" w16cid:durableId="1223129434">
    <w:abstractNumId w:val="296"/>
  </w:num>
  <w:num w:numId="46" w16cid:durableId="1085568715">
    <w:abstractNumId w:val="170"/>
  </w:num>
  <w:num w:numId="47" w16cid:durableId="1087308781">
    <w:abstractNumId w:val="268"/>
  </w:num>
  <w:num w:numId="48" w16cid:durableId="1540237735">
    <w:abstractNumId w:val="387"/>
  </w:num>
  <w:num w:numId="49" w16cid:durableId="1070930345">
    <w:abstractNumId w:val="86"/>
  </w:num>
  <w:num w:numId="50" w16cid:durableId="875120237">
    <w:abstractNumId w:val="347"/>
  </w:num>
  <w:num w:numId="51" w16cid:durableId="217326013">
    <w:abstractNumId w:val="73"/>
  </w:num>
  <w:num w:numId="52" w16cid:durableId="750781050">
    <w:abstractNumId w:val="14"/>
  </w:num>
  <w:num w:numId="53" w16cid:durableId="1622029221">
    <w:abstractNumId w:val="324"/>
  </w:num>
  <w:num w:numId="54" w16cid:durableId="570114308">
    <w:abstractNumId w:val="224"/>
  </w:num>
  <w:num w:numId="55" w16cid:durableId="237523655">
    <w:abstractNumId w:val="264"/>
  </w:num>
  <w:num w:numId="56" w16cid:durableId="1169250636">
    <w:abstractNumId w:val="278"/>
  </w:num>
  <w:num w:numId="57" w16cid:durableId="1007906735">
    <w:abstractNumId w:val="323"/>
  </w:num>
  <w:num w:numId="58" w16cid:durableId="1476408928">
    <w:abstractNumId w:val="165"/>
  </w:num>
  <w:num w:numId="59" w16cid:durableId="1076512556">
    <w:abstractNumId w:val="43"/>
  </w:num>
  <w:num w:numId="60" w16cid:durableId="393361416">
    <w:abstractNumId w:val="62"/>
  </w:num>
  <w:num w:numId="61" w16cid:durableId="1185096723">
    <w:abstractNumId w:val="148"/>
  </w:num>
  <w:num w:numId="62" w16cid:durableId="598218173">
    <w:abstractNumId w:val="78"/>
  </w:num>
  <w:num w:numId="63" w16cid:durableId="1707368566">
    <w:abstractNumId w:val="235"/>
  </w:num>
  <w:num w:numId="64" w16cid:durableId="90975367">
    <w:abstractNumId w:val="301"/>
  </w:num>
  <w:num w:numId="65" w16cid:durableId="89350775">
    <w:abstractNumId w:val="233"/>
  </w:num>
  <w:num w:numId="66" w16cid:durableId="338775795">
    <w:abstractNumId w:val="130"/>
  </w:num>
  <w:num w:numId="67" w16cid:durableId="1321881123">
    <w:abstractNumId w:val="164"/>
  </w:num>
  <w:num w:numId="68" w16cid:durableId="1735659028">
    <w:abstractNumId w:val="321"/>
  </w:num>
  <w:num w:numId="69" w16cid:durableId="405230655">
    <w:abstractNumId w:val="84"/>
  </w:num>
  <w:num w:numId="70" w16cid:durableId="1839346288">
    <w:abstractNumId w:val="346"/>
  </w:num>
  <w:num w:numId="71" w16cid:durableId="308562135">
    <w:abstractNumId w:val="59"/>
  </w:num>
  <w:num w:numId="72" w16cid:durableId="1820882092">
    <w:abstractNumId w:val="125"/>
  </w:num>
  <w:num w:numId="73" w16cid:durableId="741872479">
    <w:abstractNumId w:val="152"/>
  </w:num>
  <w:num w:numId="74" w16cid:durableId="1632401975">
    <w:abstractNumId w:val="351"/>
  </w:num>
  <w:num w:numId="75" w16cid:durableId="528761594">
    <w:abstractNumId w:val="159"/>
  </w:num>
  <w:num w:numId="76" w16cid:durableId="832572343">
    <w:abstractNumId w:val="213"/>
  </w:num>
  <w:num w:numId="77" w16cid:durableId="1566990396">
    <w:abstractNumId w:val="360"/>
  </w:num>
  <w:num w:numId="78" w16cid:durableId="1476533828">
    <w:abstractNumId w:val="79"/>
  </w:num>
  <w:num w:numId="79" w16cid:durableId="436677073">
    <w:abstractNumId w:val="388"/>
  </w:num>
  <w:num w:numId="80" w16cid:durableId="1325401708">
    <w:abstractNumId w:val="97"/>
  </w:num>
  <w:num w:numId="81" w16cid:durableId="1285700042">
    <w:abstractNumId w:val="7"/>
  </w:num>
  <w:num w:numId="82" w16cid:durableId="1278411637">
    <w:abstractNumId w:val="227"/>
  </w:num>
  <w:num w:numId="83" w16cid:durableId="125661696">
    <w:abstractNumId w:val="274"/>
  </w:num>
  <w:num w:numId="84" w16cid:durableId="584648126">
    <w:abstractNumId w:val="362"/>
  </w:num>
  <w:num w:numId="85" w16cid:durableId="210923734">
    <w:abstractNumId w:val="24"/>
  </w:num>
  <w:num w:numId="86" w16cid:durableId="1442409794">
    <w:abstractNumId w:val="400"/>
  </w:num>
  <w:num w:numId="87" w16cid:durableId="553350938">
    <w:abstractNumId w:val="403"/>
  </w:num>
  <w:num w:numId="88" w16cid:durableId="1825975136">
    <w:abstractNumId w:val="348"/>
  </w:num>
  <w:num w:numId="89" w16cid:durableId="957754800">
    <w:abstractNumId w:val="13"/>
  </w:num>
  <w:num w:numId="90" w16cid:durableId="1574121415">
    <w:abstractNumId w:val="375"/>
  </w:num>
  <w:num w:numId="91" w16cid:durableId="1393389013">
    <w:abstractNumId w:val="337"/>
  </w:num>
  <w:num w:numId="92" w16cid:durableId="935291476">
    <w:abstractNumId w:val="307"/>
  </w:num>
  <w:num w:numId="93" w16cid:durableId="1243678667">
    <w:abstractNumId w:val="58"/>
  </w:num>
  <w:num w:numId="94" w16cid:durableId="1733767629">
    <w:abstractNumId w:val="380"/>
  </w:num>
  <w:num w:numId="95" w16cid:durableId="664743019">
    <w:abstractNumId w:val="252"/>
  </w:num>
  <w:num w:numId="96" w16cid:durableId="208223628">
    <w:abstractNumId w:val="85"/>
  </w:num>
  <w:num w:numId="97" w16cid:durableId="1165706880">
    <w:abstractNumId w:val="70"/>
  </w:num>
  <w:num w:numId="98" w16cid:durableId="555966952">
    <w:abstractNumId w:val="357"/>
  </w:num>
  <w:num w:numId="99" w16cid:durableId="647980023">
    <w:abstractNumId w:val="238"/>
  </w:num>
  <w:num w:numId="100" w16cid:durableId="127169235">
    <w:abstractNumId w:val="244"/>
  </w:num>
  <w:num w:numId="101" w16cid:durableId="1452045585">
    <w:abstractNumId w:val="206"/>
  </w:num>
  <w:num w:numId="102" w16cid:durableId="296104675">
    <w:abstractNumId w:val="285"/>
  </w:num>
  <w:num w:numId="103" w16cid:durableId="313217951">
    <w:abstractNumId w:val="185"/>
  </w:num>
  <w:num w:numId="104" w16cid:durableId="1126974395">
    <w:abstractNumId w:val="338"/>
  </w:num>
  <w:num w:numId="105" w16cid:durableId="1121873855">
    <w:abstractNumId w:val="341"/>
  </w:num>
  <w:num w:numId="106" w16cid:durableId="630406241">
    <w:abstractNumId w:val="397"/>
  </w:num>
  <w:num w:numId="107" w16cid:durableId="1137838079">
    <w:abstractNumId w:val="298"/>
  </w:num>
  <w:num w:numId="108" w16cid:durableId="21441918">
    <w:abstractNumId w:val="340"/>
  </w:num>
  <w:num w:numId="109" w16cid:durableId="126240611">
    <w:abstractNumId w:val="262"/>
  </w:num>
  <w:num w:numId="110" w16cid:durableId="1755593716">
    <w:abstractNumId w:val="4"/>
  </w:num>
  <w:num w:numId="111" w16cid:durableId="1668751355">
    <w:abstractNumId w:val="98"/>
  </w:num>
  <w:num w:numId="112" w16cid:durableId="99031078">
    <w:abstractNumId w:val="72"/>
  </w:num>
  <w:num w:numId="113" w16cid:durableId="1362322894">
    <w:abstractNumId w:val="166"/>
  </w:num>
  <w:num w:numId="114" w16cid:durableId="422533768">
    <w:abstractNumId w:val="230"/>
  </w:num>
  <w:num w:numId="115" w16cid:durableId="255870601">
    <w:abstractNumId w:val="399"/>
  </w:num>
  <w:num w:numId="116" w16cid:durableId="1783382496">
    <w:abstractNumId w:val="34"/>
  </w:num>
  <w:num w:numId="117" w16cid:durableId="740368073">
    <w:abstractNumId w:val="392"/>
  </w:num>
  <w:num w:numId="118" w16cid:durableId="1432626345">
    <w:abstractNumId w:val="172"/>
  </w:num>
  <w:num w:numId="119" w16cid:durableId="1977178462">
    <w:abstractNumId w:val="182"/>
  </w:num>
  <w:num w:numId="120" w16cid:durableId="863248879">
    <w:abstractNumId w:val="382"/>
  </w:num>
  <w:num w:numId="121" w16cid:durableId="1818570383">
    <w:abstractNumId w:val="136"/>
  </w:num>
  <w:num w:numId="122" w16cid:durableId="1495145123">
    <w:abstractNumId w:val="326"/>
  </w:num>
  <w:num w:numId="123" w16cid:durableId="1036739437">
    <w:abstractNumId w:val="77"/>
  </w:num>
  <w:num w:numId="124" w16cid:durableId="2000768296">
    <w:abstractNumId w:val="96"/>
  </w:num>
  <w:num w:numId="125" w16cid:durableId="78601173">
    <w:abstractNumId w:val="378"/>
  </w:num>
  <w:num w:numId="126" w16cid:durableId="1190266039">
    <w:abstractNumId w:val="208"/>
  </w:num>
  <w:num w:numId="127" w16cid:durableId="209194489">
    <w:abstractNumId w:val="33"/>
  </w:num>
  <w:num w:numId="128" w16cid:durableId="1842895001">
    <w:abstractNumId w:val="219"/>
  </w:num>
  <w:num w:numId="129" w16cid:durableId="1049496430">
    <w:abstractNumId w:val="275"/>
  </w:num>
  <w:num w:numId="130" w16cid:durableId="1704944046">
    <w:abstractNumId w:val="229"/>
  </w:num>
  <w:num w:numId="131" w16cid:durableId="622030983">
    <w:abstractNumId w:val="358"/>
  </w:num>
  <w:num w:numId="132" w16cid:durableId="2085099948">
    <w:abstractNumId w:val="220"/>
  </w:num>
  <w:num w:numId="133" w16cid:durableId="1378700979">
    <w:abstractNumId w:val="109"/>
  </w:num>
  <w:num w:numId="134" w16cid:durableId="1709137625">
    <w:abstractNumId w:val="44"/>
  </w:num>
  <w:num w:numId="135" w16cid:durableId="244262236">
    <w:abstractNumId w:val="122"/>
  </w:num>
  <w:num w:numId="136" w16cid:durableId="800616864">
    <w:abstractNumId w:val="37"/>
  </w:num>
  <w:num w:numId="137" w16cid:durableId="1463767544">
    <w:abstractNumId w:val="132"/>
  </w:num>
  <w:num w:numId="138" w16cid:durableId="2111394071">
    <w:abstractNumId w:val="216"/>
  </w:num>
  <w:num w:numId="139" w16cid:durableId="1801872689">
    <w:abstractNumId w:val="129"/>
  </w:num>
  <w:num w:numId="140" w16cid:durableId="685403855">
    <w:abstractNumId w:val="49"/>
  </w:num>
  <w:num w:numId="141" w16cid:durableId="1140002978">
    <w:abstractNumId w:val="398"/>
  </w:num>
  <w:num w:numId="142" w16cid:durableId="780800253">
    <w:abstractNumId w:val="57"/>
  </w:num>
  <w:num w:numId="143" w16cid:durableId="68500768">
    <w:abstractNumId w:val="118"/>
  </w:num>
  <w:num w:numId="144" w16cid:durableId="1050767943">
    <w:abstractNumId w:val="330"/>
  </w:num>
  <w:num w:numId="145" w16cid:durableId="1801998076">
    <w:abstractNumId w:val="99"/>
  </w:num>
  <w:num w:numId="146" w16cid:durableId="1506090908">
    <w:abstractNumId w:val="210"/>
  </w:num>
  <w:num w:numId="147" w16cid:durableId="865295250">
    <w:abstractNumId w:val="225"/>
  </w:num>
  <w:num w:numId="148" w16cid:durableId="1466701790">
    <w:abstractNumId w:val="31"/>
  </w:num>
  <w:num w:numId="149" w16cid:durableId="671642334">
    <w:abstractNumId w:val="239"/>
  </w:num>
  <w:num w:numId="150" w16cid:durableId="943922698">
    <w:abstractNumId w:val="156"/>
  </w:num>
  <w:num w:numId="151" w16cid:durableId="1297292714">
    <w:abstractNumId w:val="295"/>
  </w:num>
  <w:num w:numId="152" w16cid:durableId="1671831357">
    <w:abstractNumId w:val="257"/>
  </w:num>
  <w:num w:numId="153" w16cid:durableId="846020170">
    <w:abstractNumId w:val="16"/>
  </w:num>
  <w:num w:numId="154" w16cid:durableId="468322234">
    <w:abstractNumId w:val="367"/>
  </w:num>
  <w:num w:numId="155" w16cid:durableId="1384866551">
    <w:abstractNumId w:val="87"/>
  </w:num>
  <w:num w:numId="156" w16cid:durableId="1723673443">
    <w:abstractNumId w:val="50"/>
  </w:num>
  <w:num w:numId="157" w16cid:durableId="434860215">
    <w:abstractNumId w:val="155"/>
  </w:num>
  <w:num w:numId="158" w16cid:durableId="1661469181">
    <w:abstractNumId w:val="342"/>
  </w:num>
  <w:num w:numId="159" w16cid:durableId="2120832427">
    <w:abstractNumId w:val="271"/>
  </w:num>
  <w:num w:numId="160" w16cid:durableId="1797718484">
    <w:abstractNumId w:val="1"/>
  </w:num>
  <w:num w:numId="161" w16cid:durableId="401027124">
    <w:abstractNumId w:val="325"/>
  </w:num>
  <w:num w:numId="162" w16cid:durableId="1249198387">
    <w:abstractNumId w:val="261"/>
  </w:num>
  <w:num w:numId="163" w16cid:durableId="48043659">
    <w:abstractNumId w:val="376"/>
  </w:num>
  <w:num w:numId="164" w16cid:durableId="1180314837">
    <w:abstractNumId w:val="142"/>
  </w:num>
  <w:num w:numId="165" w16cid:durableId="1002051206">
    <w:abstractNumId w:val="180"/>
  </w:num>
  <w:num w:numId="166" w16cid:durableId="1296715572">
    <w:abstractNumId w:val="175"/>
  </w:num>
  <w:num w:numId="167" w16cid:durableId="192302554">
    <w:abstractNumId w:val="107"/>
  </w:num>
  <w:num w:numId="168" w16cid:durableId="987562203">
    <w:abstractNumId w:val="293"/>
  </w:num>
  <w:num w:numId="169" w16cid:durableId="1900170420">
    <w:abstractNumId w:val="302"/>
  </w:num>
  <w:num w:numId="170" w16cid:durableId="1185245870">
    <w:abstractNumId w:val="234"/>
  </w:num>
  <w:num w:numId="171" w16cid:durableId="108933999">
    <w:abstractNumId w:val="195"/>
  </w:num>
  <w:num w:numId="172" w16cid:durableId="1518689742">
    <w:abstractNumId w:val="10"/>
  </w:num>
  <w:num w:numId="173" w16cid:durableId="1698769151">
    <w:abstractNumId w:val="267"/>
  </w:num>
  <w:num w:numId="174" w16cid:durableId="94980861">
    <w:abstractNumId w:val="186"/>
  </w:num>
  <w:num w:numId="175" w16cid:durableId="586504944">
    <w:abstractNumId w:val="401"/>
  </w:num>
  <w:num w:numId="176" w16cid:durableId="85853380">
    <w:abstractNumId w:val="187"/>
  </w:num>
  <w:num w:numId="177" w16cid:durableId="278269788">
    <w:abstractNumId w:val="26"/>
  </w:num>
  <w:num w:numId="178" w16cid:durableId="1601794998">
    <w:abstractNumId w:val="100"/>
  </w:num>
  <w:num w:numId="179" w16cid:durableId="1605845686">
    <w:abstractNumId w:val="22"/>
  </w:num>
  <w:num w:numId="180" w16cid:durableId="142817804">
    <w:abstractNumId w:val="91"/>
  </w:num>
  <w:num w:numId="181" w16cid:durableId="643050291">
    <w:abstractNumId w:val="135"/>
  </w:num>
  <w:num w:numId="182" w16cid:durableId="117989292">
    <w:abstractNumId w:val="169"/>
  </w:num>
  <w:num w:numId="183" w16cid:durableId="361788337">
    <w:abstractNumId w:val="245"/>
  </w:num>
  <w:num w:numId="184" w16cid:durableId="363334779">
    <w:abstractNumId w:val="173"/>
  </w:num>
  <w:num w:numId="185" w16cid:durableId="75171765">
    <w:abstractNumId w:val="191"/>
  </w:num>
  <w:num w:numId="186" w16cid:durableId="1480030723">
    <w:abstractNumId w:val="40"/>
  </w:num>
  <w:num w:numId="187" w16cid:durableId="448864712">
    <w:abstractNumId w:val="154"/>
  </w:num>
  <w:num w:numId="188" w16cid:durableId="506335293">
    <w:abstractNumId w:val="290"/>
  </w:num>
  <w:num w:numId="189" w16cid:durableId="492641675">
    <w:abstractNumId w:val="222"/>
  </w:num>
  <w:num w:numId="190" w16cid:durableId="48770654">
    <w:abstractNumId w:val="281"/>
  </w:num>
  <w:num w:numId="191" w16cid:durableId="2022124391">
    <w:abstractNumId w:val="297"/>
  </w:num>
  <w:num w:numId="192" w16cid:durableId="15349265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308784652">
    <w:abstractNumId w:val="80"/>
  </w:num>
  <w:num w:numId="194" w16cid:durableId="1983191027">
    <w:abstractNumId w:val="114"/>
  </w:num>
  <w:num w:numId="195" w16cid:durableId="1387417323">
    <w:abstractNumId w:val="2"/>
  </w:num>
  <w:num w:numId="196" w16cid:durableId="1066999910">
    <w:abstractNumId w:val="68"/>
  </w:num>
  <w:num w:numId="197" w16cid:durableId="1264461087">
    <w:abstractNumId w:val="311"/>
  </w:num>
  <w:num w:numId="198" w16cid:durableId="330718051">
    <w:abstractNumId w:val="389"/>
  </w:num>
  <w:num w:numId="199" w16cid:durableId="484401419">
    <w:abstractNumId w:val="339"/>
  </w:num>
  <w:num w:numId="200" w16cid:durableId="694162321">
    <w:abstractNumId w:val="319"/>
  </w:num>
  <w:num w:numId="201" w16cid:durableId="402139505">
    <w:abstractNumId w:val="11"/>
  </w:num>
  <w:num w:numId="202" w16cid:durableId="24527769">
    <w:abstractNumId w:val="283"/>
  </w:num>
  <w:num w:numId="203" w16cid:durableId="1424913519">
    <w:abstractNumId w:val="217"/>
  </w:num>
  <w:num w:numId="204" w16cid:durableId="1338119357">
    <w:abstractNumId w:val="143"/>
  </w:num>
  <w:num w:numId="205" w16cid:durableId="694842226">
    <w:abstractNumId w:val="56"/>
  </w:num>
  <w:num w:numId="206" w16cid:durableId="1549877784">
    <w:abstractNumId w:val="356"/>
  </w:num>
  <w:num w:numId="207" w16cid:durableId="159740790">
    <w:abstractNumId w:val="308"/>
  </w:num>
  <w:num w:numId="208" w16cid:durableId="1932660822">
    <w:abstractNumId w:val="181"/>
  </w:num>
  <w:num w:numId="209" w16cid:durableId="1740395896">
    <w:abstractNumId w:val="305"/>
  </w:num>
  <w:num w:numId="210" w16cid:durableId="1340498218">
    <w:abstractNumId w:val="218"/>
  </w:num>
  <w:num w:numId="211" w16cid:durableId="905065207">
    <w:abstractNumId w:val="327"/>
  </w:num>
  <w:num w:numId="212" w16cid:durableId="688406889">
    <w:abstractNumId w:val="157"/>
  </w:num>
  <w:num w:numId="213" w16cid:durableId="1854345951">
    <w:abstractNumId w:val="139"/>
  </w:num>
  <w:num w:numId="214" w16cid:durableId="929267245">
    <w:abstractNumId w:val="246"/>
  </w:num>
  <w:num w:numId="215" w16cid:durableId="11928795">
    <w:abstractNumId w:val="141"/>
  </w:num>
  <w:num w:numId="216" w16cid:durableId="1881818176">
    <w:abstractNumId w:val="263"/>
  </w:num>
  <w:num w:numId="217" w16cid:durableId="1054936322">
    <w:abstractNumId w:val="374"/>
  </w:num>
  <w:num w:numId="218" w16cid:durableId="1470198081">
    <w:abstractNumId w:val="318"/>
  </w:num>
  <w:num w:numId="219" w16cid:durableId="1343046031">
    <w:abstractNumId w:val="276"/>
  </w:num>
  <w:num w:numId="220" w16cid:durableId="1038313197">
    <w:abstractNumId w:val="317"/>
  </w:num>
  <w:num w:numId="221" w16cid:durableId="2094008575">
    <w:abstractNumId w:val="366"/>
  </w:num>
  <w:num w:numId="222" w16cid:durableId="89588903">
    <w:abstractNumId w:val="354"/>
  </w:num>
  <w:num w:numId="223" w16cid:durableId="833493783">
    <w:abstractNumId w:val="334"/>
  </w:num>
  <w:num w:numId="224" w16cid:durableId="1794977566">
    <w:abstractNumId w:val="115"/>
  </w:num>
  <w:num w:numId="225" w16cid:durableId="1262880788">
    <w:abstractNumId w:val="151"/>
  </w:num>
  <w:num w:numId="226" w16cid:durableId="954366343">
    <w:abstractNumId w:val="147"/>
  </w:num>
  <w:num w:numId="227" w16cid:durableId="66389870">
    <w:abstractNumId w:val="90"/>
  </w:num>
  <w:num w:numId="228" w16cid:durableId="1009916112">
    <w:abstractNumId w:val="103"/>
  </w:num>
  <w:num w:numId="229" w16cid:durableId="504321196">
    <w:abstractNumId w:val="168"/>
  </w:num>
  <w:num w:numId="230" w16cid:durableId="243298805">
    <w:abstractNumId w:val="241"/>
  </w:num>
  <w:num w:numId="231" w16cid:durableId="507058782">
    <w:abstractNumId w:val="300"/>
  </w:num>
  <w:num w:numId="232" w16cid:durableId="1241057608">
    <w:abstractNumId w:val="174"/>
  </w:num>
  <w:num w:numId="233" w16cid:durableId="1283196895">
    <w:abstractNumId w:val="137"/>
  </w:num>
  <w:num w:numId="234" w16cid:durableId="730078842">
    <w:abstractNumId w:val="355"/>
  </w:num>
  <w:num w:numId="235" w16cid:durableId="1885095793">
    <w:abstractNumId w:val="110"/>
  </w:num>
  <w:num w:numId="236" w16cid:durableId="2094080216">
    <w:abstractNumId w:val="201"/>
  </w:num>
  <w:num w:numId="237" w16cid:durableId="1151947749">
    <w:abstractNumId w:val="171"/>
  </w:num>
  <w:num w:numId="238" w16cid:durableId="1285386049">
    <w:abstractNumId w:val="309"/>
  </w:num>
  <w:num w:numId="239" w16cid:durableId="1670447428">
    <w:abstractNumId w:val="198"/>
  </w:num>
  <w:num w:numId="240" w16cid:durableId="703290071">
    <w:abstractNumId w:val="231"/>
  </w:num>
  <w:num w:numId="241" w16cid:durableId="921640880">
    <w:abstractNumId w:val="124"/>
  </w:num>
  <w:num w:numId="242" w16cid:durableId="1658070303">
    <w:abstractNumId w:val="361"/>
  </w:num>
  <w:num w:numId="243" w16cid:durableId="1511984734">
    <w:abstractNumId w:val="183"/>
  </w:num>
  <w:num w:numId="244" w16cid:durableId="1759212274">
    <w:abstractNumId w:val="102"/>
  </w:num>
  <w:num w:numId="245" w16cid:durableId="1345980477">
    <w:abstractNumId w:val="228"/>
  </w:num>
  <w:num w:numId="246" w16cid:durableId="1231883646">
    <w:abstractNumId w:val="41"/>
  </w:num>
  <w:num w:numId="247" w16cid:durableId="1640958295">
    <w:abstractNumId w:val="255"/>
  </w:num>
  <w:num w:numId="248" w16cid:durableId="1181161715">
    <w:abstractNumId w:val="379"/>
  </w:num>
  <w:num w:numId="249" w16cid:durableId="1693800065">
    <w:abstractNumId w:val="269"/>
  </w:num>
  <w:num w:numId="250" w16cid:durableId="370227407">
    <w:abstractNumId w:val="19"/>
  </w:num>
  <w:num w:numId="251" w16cid:durableId="629286807">
    <w:abstractNumId w:val="369"/>
  </w:num>
  <w:num w:numId="252" w16cid:durableId="2019653198">
    <w:abstractNumId w:val="328"/>
  </w:num>
  <w:num w:numId="253" w16cid:durableId="1706634927">
    <w:abstractNumId w:val="126"/>
  </w:num>
  <w:num w:numId="254" w16cid:durableId="786586438">
    <w:abstractNumId w:val="215"/>
  </w:num>
  <w:num w:numId="255" w16cid:durableId="2130853838">
    <w:abstractNumId w:val="373"/>
  </w:num>
  <w:num w:numId="256" w16cid:durableId="290021974">
    <w:abstractNumId w:val="9"/>
  </w:num>
  <w:num w:numId="257" w16cid:durableId="313603419">
    <w:abstractNumId w:val="203"/>
  </w:num>
  <w:num w:numId="258" w16cid:durableId="9839168">
    <w:abstractNumId w:val="294"/>
  </w:num>
  <w:num w:numId="259" w16cid:durableId="1531721478">
    <w:abstractNumId w:val="345"/>
  </w:num>
  <w:num w:numId="260" w16cid:durableId="1566798022">
    <w:abstractNumId w:val="331"/>
  </w:num>
  <w:num w:numId="261" w16cid:durableId="1342202884">
    <w:abstractNumId w:val="95"/>
  </w:num>
  <w:num w:numId="262" w16cid:durableId="1324117092">
    <w:abstractNumId w:val="315"/>
  </w:num>
  <w:num w:numId="263" w16cid:durableId="975525116">
    <w:abstractNumId w:val="205"/>
  </w:num>
  <w:num w:numId="264" w16cid:durableId="711732972">
    <w:abstractNumId w:val="333"/>
  </w:num>
  <w:num w:numId="265" w16cid:durableId="822891725">
    <w:abstractNumId w:val="322"/>
  </w:num>
  <w:num w:numId="266" w16cid:durableId="2128308370">
    <w:abstractNumId w:val="240"/>
  </w:num>
  <w:num w:numId="267" w16cid:durableId="1164004073">
    <w:abstractNumId w:val="116"/>
  </w:num>
  <w:num w:numId="268" w16cid:durableId="339507289">
    <w:abstractNumId w:val="214"/>
  </w:num>
  <w:num w:numId="269" w16cid:durableId="825632693">
    <w:abstractNumId w:val="74"/>
  </w:num>
  <w:num w:numId="270" w16cid:durableId="314846905">
    <w:abstractNumId w:val="313"/>
  </w:num>
  <w:num w:numId="271" w16cid:durableId="168567035">
    <w:abstractNumId w:val="249"/>
  </w:num>
  <w:num w:numId="272" w16cid:durableId="111439416">
    <w:abstractNumId w:val="242"/>
  </w:num>
  <w:num w:numId="273" w16cid:durableId="1309282974">
    <w:abstractNumId w:val="112"/>
  </w:num>
  <w:num w:numId="274" w16cid:durableId="1317687035">
    <w:abstractNumId w:val="23"/>
  </w:num>
  <w:num w:numId="275" w16cid:durableId="1105153638">
    <w:abstractNumId w:val="30"/>
  </w:num>
  <w:num w:numId="276" w16cid:durableId="1510096991">
    <w:abstractNumId w:val="221"/>
  </w:num>
  <w:num w:numId="277" w16cid:durableId="978611401">
    <w:abstractNumId w:val="232"/>
  </w:num>
  <w:num w:numId="278" w16cid:durableId="2080512749">
    <w:abstractNumId w:val="396"/>
  </w:num>
  <w:num w:numId="279" w16cid:durableId="1351101607">
    <w:abstractNumId w:val="303"/>
  </w:num>
  <w:num w:numId="280" w16cid:durableId="203980589">
    <w:abstractNumId w:val="179"/>
  </w:num>
  <w:num w:numId="281" w16cid:durableId="664668323">
    <w:abstractNumId w:val="27"/>
  </w:num>
  <w:num w:numId="282" w16cid:durableId="577400020">
    <w:abstractNumId w:val="167"/>
  </w:num>
  <w:num w:numId="283" w16cid:durableId="1571037484">
    <w:abstractNumId w:val="36"/>
  </w:num>
  <w:num w:numId="284" w16cid:durableId="1650089285">
    <w:abstractNumId w:val="184"/>
  </w:num>
  <w:num w:numId="285" w16cid:durableId="1374692185">
    <w:abstractNumId w:val="108"/>
  </w:num>
  <w:num w:numId="286" w16cid:durableId="482040530">
    <w:abstractNumId w:val="46"/>
  </w:num>
  <w:num w:numId="287" w16cid:durableId="127476414">
    <w:abstractNumId w:val="162"/>
  </w:num>
  <w:num w:numId="288" w16cid:durableId="43406505">
    <w:abstractNumId w:val="353"/>
  </w:num>
  <w:num w:numId="289" w16cid:durableId="535316221">
    <w:abstractNumId w:val="121"/>
  </w:num>
  <w:num w:numId="290" w16cid:durableId="852719787">
    <w:abstractNumId w:val="314"/>
  </w:num>
  <w:num w:numId="291" w16cid:durableId="45641160">
    <w:abstractNumId w:val="254"/>
  </w:num>
  <w:num w:numId="292" w16cid:durableId="218130803">
    <w:abstractNumId w:val="17"/>
  </w:num>
  <w:num w:numId="293" w16cid:durableId="1648510990">
    <w:abstractNumId w:val="352"/>
  </w:num>
  <w:num w:numId="294" w16cid:durableId="1856650810">
    <w:abstractNumId w:val="65"/>
  </w:num>
  <w:num w:numId="295" w16cid:durableId="1774746763">
    <w:abstractNumId w:val="199"/>
  </w:num>
  <w:num w:numId="296" w16cid:durableId="329599687">
    <w:abstractNumId w:val="292"/>
  </w:num>
  <w:num w:numId="297" w16cid:durableId="486868487">
    <w:abstractNumId w:val="364"/>
  </w:num>
  <w:num w:numId="298" w16cid:durableId="1082876803">
    <w:abstractNumId w:val="12"/>
  </w:num>
  <w:num w:numId="299" w16cid:durableId="1488285435">
    <w:abstractNumId w:val="38"/>
  </w:num>
  <w:num w:numId="300" w16cid:durableId="176847713">
    <w:abstractNumId w:val="310"/>
  </w:num>
  <w:num w:numId="301" w16cid:durableId="973372907">
    <w:abstractNumId w:val="371"/>
  </w:num>
  <w:num w:numId="302" w16cid:durableId="453791803">
    <w:abstractNumId w:val="194"/>
  </w:num>
  <w:num w:numId="303" w16cid:durableId="588659316">
    <w:abstractNumId w:val="207"/>
  </w:num>
  <w:num w:numId="304" w16cid:durableId="1817144378">
    <w:abstractNumId w:val="106"/>
  </w:num>
  <w:num w:numId="305" w16cid:durableId="954556926">
    <w:abstractNumId w:val="35"/>
  </w:num>
  <w:num w:numId="306" w16cid:durableId="835607872">
    <w:abstractNumId w:val="211"/>
  </w:num>
  <w:num w:numId="307" w16cid:durableId="799998900">
    <w:abstractNumId w:val="237"/>
  </w:num>
  <w:num w:numId="308" w16cid:durableId="956378370">
    <w:abstractNumId w:val="209"/>
  </w:num>
  <w:num w:numId="309" w16cid:durableId="1409109263">
    <w:abstractNumId w:val="306"/>
  </w:num>
  <w:num w:numId="310" w16cid:durableId="796918808">
    <w:abstractNumId w:val="304"/>
  </w:num>
  <w:num w:numId="311" w16cid:durableId="340163903">
    <w:abstractNumId w:val="284"/>
  </w:num>
  <w:num w:numId="312" w16cid:durableId="1662931954">
    <w:abstractNumId w:val="60"/>
  </w:num>
  <w:num w:numId="313" w16cid:durableId="130560125">
    <w:abstractNumId w:val="66"/>
  </w:num>
  <w:num w:numId="314" w16cid:durableId="1847866576">
    <w:abstractNumId w:val="140"/>
  </w:num>
  <w:num w:numId="315" w16cid:durableId="1446073369">
    <w:abstractNumId w:val="18"/>
  </w:num>
  <w:num w:numId="316" w16cid:durableId="1472209700">
    <w:abstractNumId w:val="138"/>
  </w:num>
  <w:num w:numId="317" w16cid:durableId="2095080885">
    <w:abstractNumId w:val="223"/>
  </w:num>
  <w:num w:numId="318" w16cid:durableId="58985782">
    <w:abstractNumId w:val="94"/>
  </w:num>
  <w:num w:numId="319" w16cid:durableId="1425956380">
    <w:abstractNumId w:val="63"/>
  </w:num>
  <w:num w:numId="320" w16cid:durableId="1070691018">
    <w:abstractNumId w:val="25"/>
  </w:num>
  <w:num w:numId="321" w16cid:durableId="788623823">
    <w:abstractNumId w:val="88"/>
  </w:num>
  <w:num w:numId="322" w16cid:durableId="1078359294">
    <w:abstractNumId w:val="272"/>
  </w:num>
  <w:num w:numId="323" w16cid:durableId="1962417200">
    <w:abstractNumId w:val="277"/>
  </w:num>
  <w:num w:numId="324" w16cid:durableId="941838039">
    <w:abstractNumId w:val="385"/>
  </w:num>
  <w:num w:numId="325" w16cid:durableId="1841192887">
    <w:abstractNumId w:val="320"/>
  </w:num>
  <w:num w:numId="326" w16cid:durableId="1671441763">
    <w:abstractNumId w:val="368"/>
  </w:num>
  <w:num w:numId="327" w16cid:durableId="1216239350">
    <w:abstractNumId w:val="266"/>
  </w:num>
  <w:num w:numId="328" w16cid:durableId="320816790">
    <w:abstractNumId w:val="190"/>
  </w:num>
  <w:num w:numId="329" w16cid:durableId="1529371732">
    <w:abstractNumId w:val="226"/>
  </w:num>
  <w:num w:numId="330" w16cid:durableId="1924800739">
    <w:abstractNumId w:val="332"/>
  </w:num>
  <w:num w:numId="331" w16cid:durableId="52237354">
    <w:abstractNumId w:val="189"/>
  </w:num>
  <w:num w:numId="332" w16cid:durableId="1646088494">
    <w:abstractNumId w:val="39"/>
  </w:num>
  <w:num w:numId="333" w16cid:durableId="128940110">
    <w:abstractNumId w:val="128"/>
  </w:num>
  <w:num w:numId="334" w16cid:durableId="1218593766">
    <w:abstractNumId w:val="75"/>
  </w:num>
  <w:num w:numId="335" w16cid:durableId="209347995">
    <w:abstractNumId w:val="93"/>
  </w:num>
  <w:num w:numId="336" w16cid:durableId="1714578634">
    <w:abstractNumId w:val="192"/>
  </w:num>
  <w:num w:numId="337" w16cid:durableId="423383213">
    <w:abstractNumId w:val="123"/>
  </w:num>
  <w:num w:numId="338" w16cid:durableId="45763130">
    <w:abstractNumId w:val="316"/>
  </w:num>
  <w:num w:numId="339" w16cid:durableId="1777871587">
    <w:abstractNumId w:val="253"/>
  </w:num>
  <w:num w:numId="340" w16cid:durableId="727918573">
    <w:abstractNumId w:val="384"/>
  </w:num>
  <w:num w:numId="341" w16cid:durableId="2016111794">
    <w:abstractNumId w:val="291"/>
  </w:num>
  <w:num w:numId="342" w16cid:durableId="1007178238">
    <w:abstractNumId w:val="81"/>
  </w:num>
  <w:num w:numId="343" w16cid:durableId="772242856">
    <w:abstractNumId w:val="299"/>
  </w:num>
  <w:num w:numId="344" w16cid:durableId="1827941704">
    <w:abstractNumId w:val="393"/>
  </w:num>
  <w:num w:numId="345" w16cid:durableId="1554610166">
    <w:abstractNumId w:val="288"/>
  </w:num>
  <w:num w:numId="346" w16cid:durableId="979502744">
    <w:abstractNumId w:val="149"/>
  </w:num>
  <w:num w:numId="347" w16cid:durableId="1270967371">
    <w:abstractNumId w:val="163"/>
  </w:num>
  <w:num w:numId="348" w16cid:durableId="716007868">
    <w:abstractNumId w:val="282"/>
  </w:num>
  <w:num w:numId="349" w16cid:durableId="317149919">
    <w:abstractNumId w:val="92"/>
  </w:num>
  <w:num w:numId="350" w16cid:durableId="45836437">
    <w:abstractNumId w:val="6"/>
  </w:num>
  <w:num w:numId="351" w16cid:durableId="24910873">
    <w:abstractNumId w:val="3"/>
  </w:num>
  <w:num w:numId="352" w16cid:durableId="1186363166">
    <w:abstractNumId w:val="402"/>
  </w:num>
  <w:num w:numId="353" w16cid:durableId="33620509">
    <w:abstractNumId w:val="32"/>
  </w:num>
  <w:num w:numId="354" w16cid:durableId="39986671">
    <w:abstractNumId w:val="287"/>
  </w:num>
  <w:num w:numId="355" w16cid:durableId="177502042">
    <w:abstractNumId w:val="383"/>
  </w:num>
  <w:num w:numId="356" w16cid:durableId="1049914390">
    <w:abstractNumId w:val="289"/>
  </w:num>
  <w:num w:numId="357" w16cid:durableId="152651245">
    <w:abstractNumId w:val="153"/>
  </w:num>
  <w:num w:numId="358" w16cid:durableId="1118840658">
    <w:abstractNumId w:val="54"/>
  </w:num>
  <w:num w:numId="359" w16cid:durableId="726537786">
    <w:abstractNumId w:val="391"/>
  </w:num>
  <w:num w:numId="360" w16cid:durableId="1648583977">
    <w:abstractNumId w:val="42"/>
  </w:num>
  <w:num w:numId="361" w16cid:durableId="650140226">
    <w:abstractNumId w:val="83"/>
  </w:num>
  <w:num w:numId="362" w16cid:durableId="1568956393">
    <w:abstractNumId w:val="20"/>
  </w:num>
  <w:num w:numId="363" w16cid:durableId="929506347">
    <w:abstractNumId w:val="82"/>
  </w:num>
  <w:num w:numId="364" w16cid:durableId="1566992528">
    <w:abstractNumId w:val="312"/>
  </w:num>
  <w:num w:numId="365" w16cid:durableId="1683630234">
    <w:abstractNumId w:val="161"/>
  </w:num>
  <w:num w:numId="366" w16cid:durableId="1807433261">
    <w:abstractNumId w:val="69"/>
  </w:num>
  <w:num w:numId="367" w16cid:durableId="309411577">
    <w:abstractNumId w:val="204"/>
  </w:num>
  <w:num w:numId="368" w16cid:durableId="947352254">
    <w:abstractNumId w:val="178"/>
  </w:num>
  <w:num w:numId="369" w16cid:durableId="170418233">
    <w:abstractNumId w:val="82"/>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16cid:durableId="2027902723">
    <w:abstractNumId w:val="105"/>
  </w:num>
  <w:num w:numId="371" w16cid:durableId="280192944">
    <w:abstractNumId w:val="258"/>
  </w:num>
  <w:num w:numId="372" w16cid:durableId="130440419">
    <w:abstractNumId w:val="144"/>
  </w:num>
  <w:num w:numId="373" w16cid:durableId="8652443">
    <w:abstractNumId w:val="52"/>
  </w:num>
  <w:num w:numId="374" w16cid:durableId="1947689128">
    <w:abstractNumId w:val="197"/>
  </w:num>
  <w:num w:numId="375" w16cid:durableId="421922643">
    <w:abstractNumId w:val="188"/>
  </w:num>
  <w:num w:numId="376" w16cid:durableId="747383129">
    <w:abstractNumId w:val="329"/>
  </w:num>
  <w:num w:numId="377" w16cid:durableId="50159277">
    <w:abstractNumId w:val="247"/>
  </w:num>
  <w:num w:numId="378" w16cid:durableId="1929340078">
    <w:abstractNumId w:val="111"/>
  </w:num>
  <w:num w:numId="379" w16cid:durableId="1813213513">
    <w:abstractNumId w:val="29"/>
  </w:num>
  <w:num w:numId="380" w16cid:durableId="831288144">
    <w:abstractNumId w:val="150"/>
  </w:num>
  <w:num w:numId="381" w16cid:durableId="1832789890">
    <w:abstractNumId w:val="280"/>
  </w:num>
  <w:num w:numId="382" w16cid:durableId="518079516">
    <w:abstractNumId w:val="8"/>
  </w:num>
  <w:num w:numId="383" w16cid:durableId="710805649">
    <w:abstractNumId w:val="381"/>
  </w:num>
  <w:num w:numId="384" w16cid:durableId="1263369222">
    <w:abstractNumId w:val="177"/>
  </w:num>
  <w:num w:numId="385" w16cid:durableId="544879185">
    <w:abstractNumId w:val="134"/>
  </w:num>
  <w:num w:numId="386" w16cid:durableId="1828934433">
    <w:abstractNumId w:val="113"/>
  </w:num>
  <w:num w:numId="387" w16cid:durableId="422342413">
    <w:abstractNumId w:val="336"/>
  </w:num>
  <w:num w:numId="388" w16cid:durableId="2086679072">
    <w:abstractNumId w:val="350"/>
  </w:num>
  <w:num w:numId="389" w16cid:durableId="1303078262">
    <w:abstractNumId w:val="158"/>
  </w:num>
  <w:num w:numId="390" w16cid:durableId="1988778335">
    <w:abstractNumId w:val="279"/>
  </w:num>
  <w:num w:numId="391" w16cid:durableId="439494954">
    <w:abstractNumId w:val="131"/>
  </w:num>
  <w:num w:numId="392" w16cid:durableId="1278293826">
    <w:abstractNumId w:val="176"/>
  </w:num>
  <w:num w:numId="393" w16cid:durableId="1572501091">
    <w:abstractNumId w:val="120"/>
  </w:num>
  <w:num w:numId="394" w16cid:durableId="736440493">
    <w:abstractNumId w:val="133"/>
  </w:num>
  <w:num w:numId="395" w16cid:durableId="753160729">
    <w:abstractNumId w:val="259"/>
  </w:num>
  <w:num w:numId="396" w16cid:durableId="709841630">
    <w:abstractNumId w:val="101"/>
  </w:num>
  <w:num w:numId="397" w16cid:durableId="61474835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16cid:durableId="200751481">
    <w:abstractNumId w:val="265"/>
  </w:num>
  <w:num w:numId="399" w16cid:durableId="1223054310">
    <w:abstractNumId w:val="349"/>
  </w:num>
  <w:num w:numId="400" w16cid:durableId="1874688668">
    <w:abstractNumId w:val="89"/>
  </w:num>
  <w:num w:numId="401" w16cid:durableId="1918250960">
    <w:abstractNumId w:val="251"/>
  </w:num>
  <w:num w:numId="402" w16cid:durableId="2007200179">
    <w:abstractNumId w:val="53"/>
  </w:num>
  <w:num w:numId="403" w16cid:durableId="2008707592">
    <w:abstractNumId w:val="370"/>
  </w:num>
  <w:num w:numId="404" w16cid:durableId="233197828">
    <w:abstractNumId w:val="47"/>
  </w:num>
  <w:num w:numId="405" w16cid:durableId="1725328448">
    <w:abstractNumId w:val="64"/>
  </w:num>
  <w:num w:numId="406" w16cid:durableId="723873597">
    <w:abstractNumId w:val="2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1MTQ2szA1tDA1NTJS0lEKTi0uzszPAymwrAUA/C5aICwAAAA="/>
  </w:docVars>
  <w:rsids>
    <w:rsidRoot w:val="00317C65"/>
    <w:rsid w:val="0000010A"/>
    <w:rsid w:val="00000F54"/>
    <w:rsid w:val="00000FB6"/>
    <w:rsid w:val="00001049"/>
    <w:rsid w:val="000011CC"/>
    <w:rsid w:val="000018CE"/>
    <w:rsid w:val="000020A4"/>
    <w:rsid w:val="00002189"/>
    <w:rsid w:val="000026E9"/>
    <w:rsid w:val="00003604"/>
    <w:rsid w:val="0000394C"/>
    <w:rsid w:val="0000407A"/>
    <w:rsid w:val="00004984"/>
    <w:rsid w:val="0000546C"/>
    <w:rsid w:val="00005CA5"/>
    <w:rsid w:val="000062D8"/>
    <w:rsid w:val="00006674"/>
    <w:rsid w:val="00006889"/>
    <w:rsid w:val="000070D7"/>
    <w:rsid w:val="00007ED8"/>
    <w:rsid w:val="00011067"/>
    <w:rsid w:val="00012DBC"/>
    <w:rsid w:val="00013379"/>
    <w:rsid w:val="00013A78"/>
    <w:rsid w:val="000140FF"/>
    <w:rsid w:val="000153B1"/>
    <w:rsid w:val="000156FB"/>
    <w:rsid w:val="00016176"/>
    <w:rsid w:val="00016DAC"/>
    <w:rsid w:val="00017AD8"/>
    <w:rsid w:val="00017D5A"/>
    <w:rsid w:val="00017F8F"/>
    <w:rsid w:val="000203E5"/>
    <w:rsid w:val="000219EB"/>
    <w:rsid w:val="00022759"/>
    <w:rsid w:val="000228C2"/>
    <w:rsid w:val="00022EB2"/>
    <w:rsid w:val="00022F0B"/>
    <w:rsid w:val="0002300B"/>
    <w:rsid w:val="00023359"/>
    <w:rsid w:val="000233CC"/>
    <w:rsid w:val="000239C2"/>
    <w:rsid w:val="00024AD5"/>
    <w:rsid w:val="00024D24"/>
    <w:rsid w:val="000253CE"/>
    <w:rsid w:val="00026ACD"/>
    <w:rsid w:val="00026B6F"/>
    <w:rsid w:val="00026DD0"/>
    <w:rsid w:val="00027006"/>
    <w:rsid w:val="00027131"/>
    <w:rsid w:val="00027531"/>
    <w:rsid w:val="0002753E"/>
    <w:rsid w:val="0003008C"/>
    <w:rsid w:val="000313E4"/>
    <w:rsid w:val="0003157F"/>
    <w:rsid w:val="00031EE0"/>
    <w:rsid w:val="00031FEC"/>
    <w:rsid w:val="000324FD"/>
    <w:rsid w:val="00032BDE"/>
    <w:rsid w:val="00033055"/>
    <w:rsid w:val="000361E2"/>
    <w:rsid w:val="00036A28"/>
    <w:rsid w:val="00036B80"/>
    <w:rsid w:val="00036CFB"/>
    <w:rsid w:val="00041D61"/>
    <w:rsid w:val="00041EB5"/>
    <w:rsid w:val="00041FE9"/>
    <w:rsid w:val="000424AD"/>
    <w:rsid w:val="00042752"/>
    <w:rsid w:val="000429D4"/>
    <w:rsid w:val="00042A29"/>
    <w:rsid w:val="00043082"/>
    <w:rsid w:val="000441C5"/>
    <w:rsid w:val="00044903"/>
    <w:rsid w:val="00044DAF"/>
    <w:rsid w:val="00045610"/>
    <w:rsid w:val="00045B34"/>
    <w:rsid w:val="00046039"/>
    <w:rsid w:val="000461E3"/>
    <w:rsid w:val="0004636B"/>
    <w:rsid w:val="00046373"/>
    <w:rsid w:val="000463A9"/>
    <w:rsid w:val="000467EC"/>
    <w:rsid w:val="00046CA0"/>
    <w:rsid w:val="00046D78"/>
    <w:rsid w:val="00046F5D"/>
    <w:rsid w:val="000478E2"/>
    <w:rsid w:val="0005064A"/>
    <w:rsid w:val="000507A8"/>
    <w:rsid w:val="00051D4B"/>
    <w:rsid w:val="00052616"/>
    <w:rsid w:val="000532CD"/>
    <w:rsid w:val="00053A5B"/>
    <w:rsid w:val="00053A7D"/>
    <w:rsid w:val="00053B34"/>
    <w:rsid w:val="000542AA"/>
    <w:rsid w:val="00054367"/>
    <w:rsid w:val="000544AF"/>
    <w:rsid w:val="00054B43"/>
    <w:rsid w:val="00055090"/>
    <w:rsid w:val="00055197"/>
    <w:rsid w:val="00055FD7"/>
    <w:rsid w:val="00056133"/>
    <w:rsid w:val="0005621B"/>
    <w:rsid w:val="00056ABF"/>
    <w:rsid w:val="000578A9"/>
    <w:rsid w:val="00060D44"/>
    <w:rsid w:val="00061038"/>
    <w:rsid w:val="0006139A"/>
    <w:rsid w:val="00061C90"/>
    <w:rsid w:val="00062658"/>
    <w:rsid w:val="00063014"/>
    <w:rsid w:val="00065098"/>
    <w:rsid w:val="000655D0"/>
    <w:rsid w:val="00065B8E"/>
    <w:rsid w:val="00066033"/>
    <w:rsid w:val="00066155"/>
    <w:rsid w:val="00067320"/>
    <w:rsid w:val="00070276"/>
    <w:rsid w:val="00070460"/>
    <w:rsid w:val="00070CDF"/>
    <w:rsid w:val="00070D83"/>
    <w:rsid w:val="00071022"/>
    <w:rsid w:val="00071997"/>
    <w:rsid w:val="00073252"/>
    <w:rsid w:val="00074306"/>
    <w:rsid w:val="00075043"/>
    <w:rsid w:val="00075B85"/>
    <w:rsid w:val="00075E76"/>
    <w:rsid w:val="0007630A"/>
    <w:rsid w:val="000763D1"/>
    <w:rsid w:val="00076FFF"/>
    <w:rsid w:val="0007705D"/>
    <w:rsid w:val="0007784F"/>
    <w:rsid w:val="00077B35"/>
    <w:rsid w:val="000808A5"/>
    <w:rsid w:val="0008158E"/>
    <w:rsid w:val="000815B5"/>
    <w:rsid w:val="00081E86"/>
    <w:rsid w:val="000820D6"/>
    <w:rsid w:val="0008239F"/>
    <w:rsid w:val="000823F4"/>
    <w:rsid w:val="00082673"/>
    <w:rsid w:val="00083343"/>
    <w:rsid w:val="000838EA"/>
    <w:rsid w:val="00083B1A"/>
    <w:rsid w:val="00084055"/>
    <w:rsid w:val="000840A5"/>
    <w:rsid w:val="00084457"/>
    <w:rsid w:val="000846B4"/>
    <w:rsid w:val="00085B01"/>
    <w:rsid w:val="00085C24"/>
    <w:rsid w:val="00085DF9"/>
    <w:rsid w:val="0008616B"/>
    <w:rsid w:val="00087FFC"/>
    <w:rsid w:val="00090736"/>
    <w:rsid w:val="00090C0C"/>
    <w:rsid w:val="000910B8"/>
    <w:rsid w:val="000920BD"/>
    <w:rsid w:val="00092350"/>
    <w:rsid w:val="000925DC"/>
    <w:rsid w:val="000935A8"/>
    <w:rsid w:val="000937E5"/>
    <w:rsid w:val="00093962"/>
    <w:rsid w:val="000940BC"/>
    <w:rsid w:val="00094656"/>
    <w:rsid w:val="00094EAC"/>
    <w:rsid w:val="00094F81"/>
    <w:rsid w:val="00095036"/>
    <w:rsid w:val="00095560"/>
    <w:rsid w:val="0009573B"/>
    <w:rsid w:val="00095A1D"/>
    <w:rsid w:val="00095E5E"/>
    <w:rsid w:val="00096D5D"/>
    <w:rsid w:val="00097AEF"/>
    <w:rsid w:val="000A07DC"/>
    <w:rsid w:val="000A0CA6"/>
    <w:rsid w:val="000A0E17"/>
    <w:rsid w:val="000A1B7A"/>
    <w:rsid w:val="000A2BAE"/>
    <w:rsid w:val="000A2D89"/>
    <w:rsid w:val="000A31D5"/>
    <w:rsid w:val="000A3A9D"/>
    <w:rsid w:val="000A4850"/>
    <w:rsid w:val="000A4B9E"/>
    <w:rsid w:val="000A5103"/>
    <w:rsid w:val="000A5864"/>
    <w:rsid w:val="000A6527"/>
    <w:rsid w:val="000A6C63"/>
    <w:rsid w:val="000A729F"/>
    <w:rsid w:val="000A7419"/>
    <w:rsid w:val="000A75B6"/>
    <w:rsid w:val="000A7F1A"/>
    <w:rsid w:val="000B0735"/>
    <w:rsid w:val="000B11DF"/>
    <w:rsid w:val="000B2604"/>
    <w:rsid w:val="000B2C8C"/>
    <w:rsid w:val="000B3896"/>
    <w:rsid w:val="000B3DCE"/>
    <w:rsid w:val="000B46BF"/>
    <w:rsid w:val="000B4CA0"/>
    <w:rsid w:val="000B56F7"/>
    <w:rsid w:val="000B6317"/>
    <w:rsid w:val="000B65EC"/>
    <w:rsid w:val="000B698A"/>
    <w:rsid w:val="000B6C2E"/>
    <w:rsid w:val="000B6E9E"/>
    <w:rsid w:val="000B6F68"/>
    <w:rsid w:val="000B7485"/>
    <w:rsid w:val="000B77C9"/>
    <w:rsid w:val="000C01A0"/>
    <w:rsid w:val="000C06E0"/>
    <w:rsid w:val="000C0D8B"/>
    <w:rsid w:val="000C16F0"/>
    <w:rsid w:val="000C1EC8"/>
    <w:rsid w:val="000C2C54"/>
    <w:rsid w:val="000C2C9E"/>
    <w:rsid w:val="000C3138"/>
    <w:rsid w:val="000C3B1A"/>
    <w:rsid w:val="000C439B"/>
    <w:rsid w:val="000C43B9"/>
    <w:rsid w:val="000C4BD6"/>
    <w:rsid w:val="000C5868"/>
    <w:rsid w:val="000C5925"/>
    <w:rsid w:val="000C609F"/>
    <w:rsid w:val="000C664A"/>
    <w:rsid w:val="000C6910"/>
    <w:rsid w:val="000C6EF8"/>
    <w:rsid w:val="000C7245"/>
    <w:rsid w:val="000D012C"/>
    <w:rsid w:val="000D0378"/>
    <w:rsid w:val="000D039B"/>
    <w:rsid w:val="000D0968"/>
    <w:rsid w:val="000D1105"/>
    <w:rsid w:val="000D124F"/>
    <w:rsid w:val="000D13B6"/>
    <w:rsid w:val="000D15AD"/>
    <w:rsid w:val="000D161A"/>
    <w:rsid w:val="000D164C"/>
    <w:rsid w:val="000D1A73"/>
    <w:rsid w:val="000D1E34"/>
    <w:rsid w:val="000D225E"/>
    <w:rsid w:val="000D282B"/>
    <w:rsid w:val="000D2965"/>
    <w:rsid w:val="000D2AA6"/>
    <w:rsid w:val="000D2C87"/>
    <w:rsid w:val="000D2F5D"/>
    <w:rsid w:val="000D3306"/>
    <w:rsid w:val="000D36C8"/>
    <w:rsid w:val="000D39D0"/>
    <w:rsid w:val="000D3ACA"/>
    <w:rsid w:val="000D3E09"/>
    <w:rsid w:val="000D3F6B"/>
    <w:rsid w:val="000D412A"/>
    <w:rsid w:val="000D420E"/>
    <w:rsid w:val="000D4891"/>
    <w:rsid w:val="000D5476"/>
    <w:rsid w:val="000D5498"/>
    <w:rsid w:val="000D5610"/>
    <w:rsid w:val="000D5730"/>
    <w:rsid w:val="000D57C9"/>
    <w:rsid w:val="000D5B58"/>
    <w:rsid w:val="000D67CA"/>
    <w:rsid w:val="000D69D8"/>
    <w:rsid w:val="000D7875"/>
    <w:rsid w:val="000D7EC6"/>
    <w:rsid w:val="000E01A5"/>
    <w:rsid w:val="000E0207"/>
    <w:rsid w:val="000E138A"/>
    <w:rsid w:val="000E20A8"/>
    <w:rsid w:val="000E2DF5"/>
    <w:rsid w:val="000E2FE8"/>
    <w:rsid w:val="000E30EC"/>
    <w:rsid w:val="000E3CA9"/>
    <w:rsid w:val="000E424F"/>
    <w:rsid w:val="000E5154"/>
    <w:rsid w:val="000E5C1A"/>
    <w:rsid w:val="000E5E40"/>
    <w:rsid w:val="000E6D95"/>
    <w:rsid w:val="000E71BF"/>
    <w:rsid w:val="000E77CA"/>
    <w:rsid w:val="000F075F"/>
    <w:rsid w:val="000F0EDD"/>
    <w:rsid w:val="000F19B3"/>
    <w:rsid w:val="000F1C12"/>
    <w:rsid w:val="000F20EE"/>
    <w:rsid w:val="000F2AD3"/>
    <w:rsid w:val="000F2BF7"/>
    <w:rsid w:val="000F3B21"/>
    <w:rsid w:val="000F3BA2"/>
    <w:rsid w:val="000F3DEB"/>
    <w:rsid w:val="000F3EB5"/>
    <w:rsid w:val="000F4093"/>
    <w:rsid w:val="000F411A"/>
    <w:rsid w:val="000F47A6"/>
    <w:rsid w:val="000F4CA3"/>
    <w:rsid w:val="000F4D9F"/>
    <w:rsid w:val="000F58B7"/>
    <w:rsid w:val="000F5AD1"/>
    <w:rsid w:val="000F5FB2"/>
    <w:rsid w:val="000F6029"/>
    <w:rsid w:val="000F62AA"/>
    <w:rsid w:val="000F66E0"/>
    <w:rsid w:val="000F67C6"/>
    <w:rsid w:val="000F67D3"/>
    <w:rsid w:val="000F69B4"/>
    <w:rsid w:val="000F6A5B"/>
    <w:rsid w:val="000F7F5A"/>
    <w:rsid w:val="00100F09"/>
    <w:rsid w:val="00101C0B"/>
    <w:rsid w:val="001027F4"/>
    <w:rsid w:val="00104151"/>
    <w:rsid w:val="0010509A"/>
    <w:rsid w:val="00105AEB"/>
    <w:rsid w:val="001065C2"/>
    <w:rsid w:val="001075C0"/>
    <w:rsid w:val="001079FF"/>
    <w:rsid w:val="00107E71"/>
    <w:rsid w:val="001108F0"/>
    <w:rsid w:val="00110F0E"/>
    <w:rsid w:val="0011150B"/>
    <w:rsid w:val="00111D76"/>
    <w:rsid w:val="00112094"/>
    <w:rsid w:val="0011332C"/>
    <w:rsid w:val="001139FB"/>
    <w:rsid w:val="00113C5D"/>
    <w:rsid w:val="0011510C"/>
    <w:rsid w:val="0011560B"/>
    <w:rsid w:val="00115B14"/>
    <w:rsid w:val="0011697D"/>
    <w:rsid w:val="00116A17"/>
    <w:rsid w:val="001172FE"/>
    <w:rsid w:val="0011735E"/>
    <w:rsid w:val="00117718"/>
    <w:rsid w:val="00117873"/>
    <w:rsid w:val="00117A30"/>
    <w:rsid w:val="00117C87"/>
    <w:rsid w:val="001201D4"/>
    <w:rsid w:val="00120227"/>
    <w:rsid w:val="00120258"/>
    <w:rsid w:val="0012028C"/>
    <w:rsid w:val="00123ED4"/>
    <w:rsid w:val="00124A79"/>
    <w:rsid w:val="00124BB0"/>
    <w:rsid w:val="00125922"/>
    <w:rsid w:val="001259D0"/>
    <w:rsid w:val="00125D86"/>
    <w:rsid w:val="00126545"/>
    <w:rsid w:val="001306E0"/>
    <w:rsid w:val="00130DA4"/>
    <w:rsid w:val="00131146"/>
    <w:rsid w:val="001315FA"/>
    <w:rsid w:val="00131870"/>
    <w:rsid w:val="00131894"/>
    <w:rsid w:val="001319F4"/>
    <w:rsid w:val="00131C56"/>
    <w:rsid w:val="0013258E"/>
    <w:rsid w:val="001329B1"/>
    <w:rsid w:val="00132AAC"/>
    <w:rsid w:val="00132C40"/>
    <w:rsid w:val="001331E3"/>
    <w:rsid w:val="0013415F"/>
    <w:rsid w:val="00134799"/>
    <w:rsid w:val="00134E95"/>
    <w:rsid w:val="00135007"/>
    <w:rsid w:val="001352D1"/>
    <w:rsid w:val="001354CD"/>
    <w:rsid w:val="00135B32"/>
    <w:rsid w:val="00135EFA"/>
    <w:rsid w:val="00136520"/>
    <w:rsid w:val="00136701"/>
    <w:rsid w:val="00136ABF"/>
    <w:rsid w:val="00137232"/>
    <w:rsid w:val="00137C31"/>
    <w:rsid w:val="001403D8"/>
    <w:rsid w:val="0014075F"/>
    <w:rsid w:val="00140CB7"/>
    <w:rsid w:val="00140F7E"/>
    <w:rsid w:val="00141192"/>
    <w:rsid w:val="0014151B"/>
    <w:rsid w:val="001416C6"/>
    <w:rsid w:val="001424FC"/>
    <w:rsid w:val="0014471E"/>
    <w:rsid w:val="001452AB"/>
    <w:rsid w:val="001469BE"/>
    <w:rsid w:val="00146ED0"/>
    <w:rsid w:val="00146EE4"/>
    <w:rsid w:val="00147EBD"/>
    <w:rsid w:val="001500E8"/>
    <w:rsid w:val="00150442"/>
    <w:rsid w:val="001505CD"/>
    <w:rsid w:val="00150728"/>
    <w:rsid w:val="00150EE4"/>
    <w:rsid w:val="00150FD9"/>
    <w:rsid w:val="001510F3"/>
    <w:rsid w:val="0015264F"/>
    <w:rsid w:val="00152680"/>
    <w:rsid w:val="00152813"/>
    <w:rsid w:val="001528A6"/>
    <w:rsid w:val="00152C70"/>
    <w:rsid w:val="001539DD"/>
    <w:rsid w:val="0015413D"/>
    <w:rsid w:val="00155489"/>
    <w:rsid w:val="0015559A"/>
    <w:rsid w:val="001567A5"/>
    <w:rsid w:val="00156A84"/>
    <w:rsid w:val="0015787D"/>
    <w:rsid w:val="001620B4"/>
    <w:rsid w:val="00162ABB"/>
    <w:rsid w:val="00162B10"/>
    <w:rsid w:val="00162C81"/>
    <w:rsid w:val="00162D7A"/>
    <w:rsid w:val="00163238"/>
    <w:rsid w:val="00163FED"/>
    <w:rsid w:val="0016424A"/>
    <w:rsid w:val="001643BA"/>
    <w:rsid w:val="00164A40"/>
    <w:rsid w:val="00164E75"/>
    <w:rsid w:val="00164EB1"/>
    <w:rsid w:val="00165091"/>
    <w:rsid w:val="001658E9"/>
    <w:rsid w:val="00166887"/>
    <w:rsid w:val="00166C0D"/>
    <w:rsid w:val="0016746B"/>
    <w:rsid w:val="001674E2"/>
    <w:rsid w:val="001676E8"/>
    <w:rsid w:val="00167772"/>
    <w:rsid w:val="001702A2"/>
    <w:rsid w:val="00170D64"/>
    <w:rsid w:val="00171692"/>
    <w:rsid w:val="00171DCC"/>
    <w:rsid w:val="001724F8"/>
    <w:rsid w:val="001736B9"/>
    <w:rsid w:val="001737E7"/>
    <w:rsid w:val="00173FB3"/>
    <w:rsid w:val="001740B9"/>
    <w:rsid w:val="00174808"/>
    <w:rsid w:val="00174ADD"/>
    <w:rsid w:val="00174DF2"/>
    <w:rsid w:val="0017550D"/>
    <w:rsid w:val="00175DBF"/>
    <w:rsid w:val="00176AF6"/>
    <w:rsid w:val="001771BB"/>
    <w:rsid w:val="0017754B"/>
    <w:rsid w:val="0017774D"/>
    <w:rsid w:val="00177AB0"/>
    <w:rsid w:val="00181BF9"/>
    <w:rsid w:val="00181C1A"/>
    <w:rsid w:val="00182796"/>
    <w:rsid w:val="00182B32"/>
    <w:rsid w:val="001837BB"/>
    <w:rsid w:val="00183F15"/>
    <w:rsid w:val="001840B8"/>
    <w:rsid w:val="00184400"/>
    <w:rsid w:val="00184F95"/>
    <w:rsid w:val="00185F3B"/>
    <w:rsid w:val="00187142"/>
    <w:rsid w:val="001877FE"/>
    <w:rsid w:val="00187EE9"/>
    <w:rsid w:val="0019042C"/>
    <w:rsid w:val="00191553"/>
    <w:rsid w:val="00191A3F"/>
    <w:rsid w:val="00191C0B"/>
    <w:rsid w:val="00191CE1"/>
    <w:rsid w:val="001929D9"/>
    <w:rsid w:val="00192C79"/>
    <w:rsid w:val="00193312"/>
    <w:rsid w:val="0019334A"/>
    <w:rsid w:val="00193395"/>
    <w:rsid w:val="00193B95"/>
    <w:rsid w:val="00194393"/>
    <w:rsid w:val="00194EC4"/>
    <w:rsid w:val="00195179"/>
    <w:rsid w:val="00195A95"/>
    <w:rsid w:val="001961ED"/>
    <w:rsid w:val="0019639D"/>
    <w:rsid w:val="00196A44"/>
    <w:rsid w:val="0019703D"/>
    <w:rsid w:val="001A0198"/>
    <w:rsid w:val="001A1356"/>
    <w:rsid w:val="001A1611"/>
    <w:rsid w:val="001A175A"/>
    <w:rsid w:val="001A1D03"/>
    <w:rsid w:val="001A23B9"/>
    <w:rsid w:val="001A2FA7"/>
    <w:rsid w:val="001A2FC8"/>
    <w:rsid w:val="001A3C85"/>
    <w:rsid w:val="001A3E1A"/>
    <w:rsid w:val="001A3F50"/>
    <w:rsid w:val="001A422F"/>
    <w:rsid w:val="001A4375"/>
    <w:rsid w:val="001A4639"/>
    <w:rsid w:val="001A4EE7"/>
    <w:rsid w:val="001A58E1"/>
    <w:rsid w:val="001A5BAA"/>
    <w:rsid w:val="001A5EAC"/>
    <w:rsid w:val="001A62E2"/>
    <w:rsid w:val="001A6319"/>
    <w:rsid w:val="001A67C9"/>
    <w:rsid w:val="001A6B70"/>
    <w:rsid w:val="001A6C65"/>
    <w:rsid w:val="001A73E7"/>
    <w:rsid w:val="001B0A74"/>
    <w:rsid w:val="001B0C99"/>
    <w:rsid w:val="001B0D00"/>
    <w:rsid w:val="001B1078"/>
    <w:rsid w:val="001B11AC"/>
    <w:rsid w:val="001B11CB"/>
    <w:rsid w:val="001B165D"/>
    <w:rsid w:val="001B17B1"/>
    <w:rsid w:val="001B1A28"/>
    <w:rsid w:val="001B1ADE"/>
    <w:rsid w:val="001B209E"/>
    <w:rsid w:val="001B2353"/>
    <w:rsid w:val="001B25A2"/>
    <w:rsid w:val="001B25B7"/>
    <w:rsid w:val="001B3DC2"/>
    <w:rsid w:val="001B5057"/>
    <w:rsid w:val="001B5763"/>
    <w:rsid w:val="001B73C0"/>
    <w:rsid w:val="001C00C7"/>
    <w:rsid w:val="001C017C"/>
    <w:rsid w:val="001C116F"/>
    <w:rsid w:val="001C170B"/>
    <w:rsid w:val="001C1B25"/>
    <w:rsid w:val="001C1B4A"/>
    <w:rsid w:val="001C281D"/>
    <w:rsid w:val="001C3A9B"/>
    <w:rsid w:val="001C4F02"/>
    <w:rsid w:val="001C5253"/>
    <w:rsid w:val="001C5450"/>
    <w:rsid w:val="001C5C2D"/>
    <w:rsid w:val="001C67A2"/>
    <w:rsid w:val="001C7009"/>
    <w:rsid w:val="001C700E"/>
    <w:rsid w:val="001C74EF"/>
    <w:rsid w:val="001C758B"/>
    <w:rsid w:val="001C7925"/>
    <w:rsid w:val="001C798C"/>
    <w:rsid w:val="001C7FB3"/>
    <w:rsid w:val="001D07F7"/>
    <w:rsid w:val="001D0831"/>
    <w:rsid w:val="001D1F44"/>
    <w:rsid w:val="001D1F70"/>
    <w:rsid w:val="001D2D12"/>
    <w:rsid w:val="001D30EF"/>
    <w:rsid w:val="001D319F"/>
    <w:rsid w:val="001D33CE"/>
    <w:rsid w:val="001D3495"/>
    <w:rsid w:val="001D3A1D"/>
    <w:rsid w:val="001D4230"/>
    <w:rsid w:val="001D43A6"/>
    <w:rsid w:val="001D4505"/>
    <w:rsid w:val="001D4B75"/>
    <w:rsid w:val="001D4BF6"/>
    <w:rsid w:val="001D5802"/>
    <w:rsid w:val="001D5C1F"/>
    <w:rsid w:val="001D5CB3"/>
    <w:rsid w:val="001D64B4"/>
    <w:rsid w:val="001D6CCC"/>
    <w:rsid w:val="001E0352"/>
    <w:rsid w:val="001E0883"/>
    <w:rsid w:val="001E1408"/>
    <w:rsid w:val="001E236B"/>
    <w:rsid w:val="001E2A5A"/>
    <w:rsid w:val="001E3E3B"/>
    <w:rsid w:val="001E4348"/>
    <w:rsid w:val="001E45AA"/>
    <w:rsid w:val="001E5DDB"/>
    <w:rsid w:val="001E6E33"/>
    <w:rsid w:val="001E7A20"/>
    <w:rsid w:val="001E7AD6"/>
    <w:rsid w:val="001E7EEC"/>
    <w:rsid w:val="001F057F"/>
    <w:rsid w:val="001F082B"/>
    <w:rsid w:val="001F091F"/>
    <w:rsid w:val="001F0B87"/>
    <w:rsid w:val="001F18F0"/>
    <w:rsid w:val="001F3C37"/>
    <w:rsid w:val="001F4262"/>
    <w:rsid w:val="001F4A39"/>
    <w:rsid w:val="001F53F6"/>
    <w:rsid w:val="001F5492"/>
    <w:rsid w:val="001F60E8"/>
    <w:rsid w:val="001F61AB"/>
    <w:rsid w:val="001F6664"/>
    <w:rsid w:val="001F757E"/>
    <w:rsid w:val="001F7C3C"/>
    <w:rsid w:val="00201025"/>
    <w:rsid w:val="002026AB"/>
    <w:rsid w:val="002031D4"/>
    <w:rsid w:val="00203EB0"/>
    <w:rsid w:val="0020521A"/>
    <w:rsid w:val="0020553A"/>
    <w:rsid w:val="002064AE"/>
    <w:rsid w:val="00207284"/>
    <w:rsid w:val="0020783B"/>
    <w:rsid w:val="002103E6"/>
    <w:rsid w:val="00210BAA"/>
    <w:rsid w:val="00210CCE"/>
    <w:rsid w:val="00210E0D"/>
    <w:rsid w:val="00211C25"/>
    <w:rsid w:val="00212190"/>
    <w:rsid w:val="002123FA"/>
    <w:rsid w:val="0021249E"/>
    <w:rsid w:val="00212835"/>
    <w:rsid w:val="00212A95"/>
    <w:rsid w:val="002136A9"/>
    <w:rsid w:val="00214D97"/>
    <w:rsid w:val="002156B4"/>
    <w:rsid w:val="002166CA"/>
    <w:rsid w:val="00216A60"/>
    <w:rsid w:val="00216B49"/>
    <w:rsid w:val="002173FF"/>
    <w:rsid w:val="0021756E"/>
    <w:rsid w:val="00217730"/>
    <w:rsid w:val="00217B0B"/>
    <w:rsid w:val="00220018"/>
    <w:rsid w:val="00220B0F"/>
    <w:rsid w:val="00220CC7"/>
    <w:rsid w:val="00220EC2"/>
    <w:rsid w:val="00221AFB"/>
    <w:rsid w:val="002224A3"/>
    <w:rsid w:val="00222759"/>
    <w:rsid w:val="00222C74"/>
    <w:rsid w:val="00223294"/>
    <w:rsid w:val="0022364B"/>
    <w:rsid w:val="002238EC"/>
    <w:rsid w:val="002241CD"/>
    <w:rsid w:val="002248BD"/>
    <w:rsid w:val="00224F37"/>
    <w:rsid w:val="002250D3"/>
    <w:rsid w:val="0022529D"/>
    <w:rsid w:val="00225AF2"/>
    <w:rsid w:val="00226254"/>
    <w:rsid w:val="002264DF"/>
    <w:rsid w:val="002267EC"/>
    <w:rsid w:val="00226869"/>
    <w:rsid w:val="00227736"/>
    <w:rsid w:val="00227B7D"/>
    <w:rsid w:val="00230216"/>
    <w:rsid w:val="002308D5"/>
    <w:rsid w:val="00230F4A"/>
    <w:rsid w:val="002326A8"/>
    <w:rsid w:val="0023386D"/>
    <w:rsid w:val="00233F85"/>
    <w:rsid w:val="002342A0"/>
    <w:rsid w:val="00234936"/>
    <w:rsid w:val="0023600C"/>
    <w:rsid w:val="002362B7"/>
    <w:rsid w:val="00236A05"/>
    <w:rsid w:val="00236B9A"/>
    <w:rsid w:val="002371E8"/>
    <w:rsid w:val="002378B6"/>
    <w:rsid w:val="00240210"/>
    <w:rsid w:val="00241675"/>
    <w:rsid w:val="002416A3"/>
    <w:rsid w:val="0024197E"/>
    <w:rsid w:val="00242394"/>
    <w:rsid w:val="002426DE"/>
    <w:rsid w:val="002429ED"/>
    <w:rsid w:val="00242E54"/>
    <w:rsid w:val="00243A0E"/>
    <w:rsid w:val="00245467"/>
    <w:rsid w:val="00246119"/>
    <w:rsid w:val="00246407"/>
    <w:rsid w:val="00246489"/>
    <w:rsid w:val="002467B3"/>
    <w:rsid w:val="00246A59"/>
    <w:rsid w:val="00246E47"/>
    <w:rsid w:val="002475F0"/>
    <w:rsid w:val="002477A9"/>
    <w:rsid w:val="0025086D"/>
    <w:rsid w:val="0025090A"/>
    <w:rsid w:val="00250B14"/>
    <w:rsid w:val="00251210"/>
    <w:rsid w:val="00251A3E"/>
    <w:rsid w:val="00252FF2"/>
    <w:rsid w:val="00253341"/>
    <w:rsid w:val="0025354A"/>
    <w:rsid w:val="00253AF6"/>
    <w:rsid w:val="00253B4B"/>
    <w:rsid w:val="002546FA"/>
    <w:rsid w:val="00254EC5"/>
    <w:rsid w:val="00255462"/>
    <w:rsid w:val="00255CC1"/>
    <w:rsid w:val="00256215"/>
    <w:rsid w:val="00256860"/>
    <w:rsid w:val="002575FD"/>
    <w:rsid w:val="00257672"/>
    <w:rsid w:val="00257C37"/>
    <w:rsid w:val="00257D4D"/>
    <w:rsid w:val="00260C68"/>
    <w:rsid w:val="00260D8E"/>
    <w:rsid w:val="00260DE7"/>
    <w:rsid w:val="00260EB2"/>
    <w:rsid w:val="00260EB5"/>
    <w:rsid w:val="00260F0C"/>
    <w:rsid w:val="00261007"/>
    <w:rsid w:val="00261684"/>
    <w:rsid w:val="00261E17"/>
    <w:rsid w:val="00262326"/>
    <w:rsid w:val="00262AD8"/>
    <w:rsid w:val="00262DB1"/>
    <w:rsid w:val="0026326E"/>
    <w:rsid w:val="002632E7"/>
    <w:rsid w:val="002637D2"/>
    <w:rsid w:val="00263DEA"/>
    <w:rsid w:val="00263F04"/>
    <w:rsid w:val="002649FB"/>
    <w:rsid w:val="00264B48"/>
    <w:rsid w:val="00265049"/>
    <w:rsid w:val="00265922"/>
    <w:rsid w:val="0026643D"/>
    <w:rsid w:val="0026652C"/>
    <w:rsid w:val="002667A7"/>
    <w:rsid w:val="002678D7"/>
    <w:rsid w:val="00267C7D"/>
    <w:rsid w:val="0027028B"/>
    <w:rsid w:val="00270FD6"/>
    <w:rsid w:val="00271143"/>
    <w:rsid w:val="002719DD"/>
    <w:rsid w:val="00273970"/>
    <w:rsid w:val="00274CDF"/>
    <w:rsid w:val="00274D03"/>
    <w:rsid w:val="0027502C"/>
    <w:rsid w:val="00275E70"/>
    <w:rsid w:val="00276443"/>
    <w:rsid w:val="002767C3"/>
    <w:rsid w:val="0027690A"/>
    <w:rsid w:val="00276B07"/>
    <w:rsid w:val="00276D42"/>
    <w:rsid w:val="00276EA5"/>
    <w:rsid w:val="00277677"/>
    <w:rsid w:val="0027782E"/>
    <w:rsid w:val="00277902"/>
    <w:rsid w:val="00280293"/>
    <w:rsid w:val="00281184"/>
    <w:rsid w:val="00281562"/>
    <w:rsid w:val="002822B0"/>
    <w:rsid w:val="002825E4"/>
    <w:rsid w:val="0028345D"/>
    <w:rsid w:val="002839ED"/>
    <w:rsid w:val="00283F71"/>
    <w:rsid w:val="00284AD1"/>
    <w:rsid w:val="00284D88"/>
    <w:rsid w:val="0028514D"/>
    <w:rsid w:val="00285485"/>
    <w:rsid w:val="002860D5"/>
    <w:rsid w:val="00286164"/>
    <w:rsid w:val="00286FCC"/>
    <w:rsid w:val="0028760F"/>
    <w:rsid w:val="00287DDB"/>
    <w:rsid w:val="002906B8"/>
    <w:rsid w:val="00290739"/>
    <w:rsid w:val="00292915"/>
    <w:rsid w:val="00292D6D"/>
    <w:rsid w:val="00294597"/>
    <w:rsid w:val="00294AE0"/>
    <w:rsid w:val="00294BDD"/>
    <w:rsid w:val="0029553B"/>
    <w:rsid w:val="0029594B"/>
    <w:rsid w:val="00295DE3"/>
    <w:rsid w:val="00297797"/>
    <w:rsid w:val="002A0102"/>
    <w:rsid w:val="002A0738"/>
    <w:rsid w:val="002A0F05"/>
    <w:rsid w:val="002A262E"/>
    <w:rsid w:val="002A26ED"/>
    <w:rsid w:val="002A271B"/>
    <w:rsid w:val="002A49EC"/>
    <w:rsid w:val="002A4E1F"/>
    <w:rsid w:val="002A59FE"/>
    <w:rsid w:val="002A5C5E"/>
    <w:rsid w:val="002A5DD9"/>
    <w:rsid w:val="002A6F30"/>
    <w:rsid w:val="002A79A2"/>
    <w:rsid w:val="002A7A46"/>
    <w:rsid w:val="002A7E1D"/>
    <w:rsid w:val="002B0372"/>
    <w:rsid w:val="002B0C80"/>
    <w:rsid w:val="002B0C8C"/>
    <w:rsid w:val="002B0F68"/>
    <w:rsid w:val="002B1B20"/>
    <w:rsid w:val="002B1BD5"/>
    <w:rsid w:val="002B36BE"/>
    <w:rsid w:val="002B3930"/>
    <w:rsid w:val="002B416C"/>
    <w:rsid w:val="002B42FB"/>
    <w:rsid w:val="002B44D4"/>
    <w:rsid w:val="002B4951"/>
    <w:rsid w:val="002B4B03"/>
    <w:rsid w:val="002B4FB2"/>
    <w:rsid w:val="002B5280"/>
    <w:rsid w:val="002B59E4"/>
    <w:rsid w:val="002B6792"/>
    <w:rsid w:val="002C00AF"/>
    <w:rsid w:val="002C0101"/>
    <w:rsid w:val="002C0A58"/>
    <w:rsid w:val="002C0CA6"/>
    <w:rsid w:val="002C11C6"/>
    <w:rsid w:val="002C1652"/>
    <w:rsid w:val="002C175B"/>
    <w:rsid w:val="002C1D36"/>
    <w:rsid w:val="002C27A0"/>
    <w:rsid w:val="002C2869"/>
    <w:rsid w:val="002C33CE"/>
    <w:rsid w:val="002C344F"/>
    <w:rsid w:val="002C3769"/>
    <w:rsid w:val="002C3AE2"/>
    <w:rsid w:val="002C417C"/>
    <w:rsid w:val="002C5799"/>
    <w:rsid w:val="002C5E6E"/>
    <w:rsid w:val="002C5ED3"/>
    <w:rsid w:val="002C682F"/>
    <w:rsid w:val="002C6C5B"/>
    <w:rsid w:val="002C74D2"/>
    <w:rsid w:val="002D04E4"/>
    <w:rsid w:val="002D0AF4"/>
    <w:rsid w:val="002D0E9C"/>
    <w:rsid w:val="002D1325"/>
    <w:rsid w:val="002D16FA"/>
    <w:rsid w:val="002D2680"/>
    <w:rsid w:val="002D2CE5"/>
    <w:rsid w:val="002D2F51"/>
    <w:rsid w:val="002D379C"/>
    <w:rsid w:val="002D3B10"/>
    <w:rsid w:val="002D42BC"/>
    <w:rsid w:val="002D50D5"/>
    <w:rsid w:val="002D5327"/>
    <w:rsid w:val="002D6132"/>
    <w:rsid w:val="002D76AA"/>
    <w:rsid w:val="002D7895"/>
    <w:rsid w:val="002D79DA"/>
    <w:rsid w:val="002D7B32"/>
    <w:rsid w:val="002E0100"/>
    <w:rsid w:val="002E03BB"/>
    <w:rsid w:val="002E0994"/>
    <w:rsid w:val="002E0BFB"/>
    <w:rsid w:val="002E1645"/>
    <w:rsid w:val="002E16B3"/>
    <w:rsid w:val="002E18A1"/>
    <w:rsid w:val="002E1FAA"/>
    <w:rsid w:val="002E23F4"/>
    <w:rsid w:val="002E2BA1"/>
    <w:rsid w:val="002E34DA"/>
    <w:rsid w:val="002E3560"/>
    <w:rsid w:val="002E375C"/>
    <w:rsid w:val="002E3935"/>
    <w:rsid w:val="002E43A7"/>
    <w:rsid w:val="002E47A1"/>
    <w:rsid w:val="002E489E"/>
    <w:rsid w:val="002E4A68"/>
    <w:rsid w:val="002E4FBC"/>
    <w:rsid w:val="002E553A"/>
    <w:rsid w:val="002E623F"/>
    <w:rsid w:val="002E7A92"/>
    <w:rsid w:val="002E7AD3"/>
    <w:rsid w:val="002E7F65"/>
    <w:rsid w:val="002F0150"/>
    <w:rsid w:val="002F1026"/>
    <w:rsid w:val="002F166B"/>
    <w:rsid w:val="002F1713"/>
    <w:rsid w:val="002F1D16"/>
    <w:rsid w:val="002F2DC6"/>
    <w:rsid w:val="002F2FA4"/>
    <w:rsid w:val="002F4507"/>
    <w:rsid w:val="002F60FE"/>
    <w:rsid w:val="002F6143"/>
    <w:rsid w:val="002F6393"/>
    <w:rsid w:val="002F6A88"/>
    <w:rsid w:val="002F7E0C"/>
    <w:rsid w:val="002F7E1B"/>
    <w:rsid w:val="00300310"/>
    <w:rsid w:val="00300985"/>
    <w:rsid w:val="00300CA8"/>
    <w:rsid w:val="00300D25"/>
    <w:rsid w:val="00300F84"/>
    <w:rsid w:val="00301271"/>
    <w:rsid w:val="00301564"/>
    <w:rsid w:val="00301697"/>
    <w:rsid w:val="00301970"/>
    <w:rsid w:val="00302F5F"/>
    <w:rsid w:val="00303F44"/>
    <w:rsid w:val="00305E0D"/>
    <w:rsid w:val="00306140"/>
    <w:rsid w:val="0030712B"/>
    <w:rsid w:val="00307D0B"/>
    <w:rsid w:val="003108C7"/>
    <w:rsid w:val="00310A68"/>
    <w:rsid w:val="00310BEF"/>
    <w:rsid w:val="00311580"/>
    <w:rsid w:val="003115A9"/>
    <w:rsid w:val="00311983"/>
    <w:rsid w:val="0031285D"/>
    <w:rsid w:val="0031365F"/>
    <w:rsid w:val="00313C31"/>
    <w:rsid w:val="0031474D"/>
    <w:rsid w:val="0031542E"/>
    <w:rsid w:val="00315B29"/>
    <w:rsid w:val="00315C14"/>
    <w:rsid w:val="00316574"/>
    <w:rsid w:val="00316C0E"/>
    <w:rsid w:val="00316CD9"/>
    <w:rsid w:val="003171B0"/>
    <w:rsid w:val="00317C65"/>
    <w:rsid w:val="00317D3A"/>
    <w:rsid w:val="003207E9"/>
    <w:rsid w:val="00320DF1"/>
    <w:rsid w:val="0032100B"/>
    <w:rsid w:val="003215BD"/>
    <w:rsid w:val="00321714"/>
    <w:rsid w:val="00321B95"/>
    <w:rsid w:val="00321CCB"/>
    <w:rsid w:val="003227C5"/>
    <w:rsid w:val="00323584"/>
    <w:rsid w:val="003246C7"/>
    <w:rsid w:val="00324C66"/>
    <w:rsid w:val="00324DBF"/>
    <w:rsid w:val="00325411"/>
    <w:rsid w:val="00325C22"/>
    <w:rsid w:val="00325D74"/>
    <w:rsid w:val="00326206"/>
    <w:rsid w:val="00326250"/>
    <w:rsid w:val="00326458"/>
    <w:rsid w:val="003273FB"/>
    <w:rsid w:val="00327643"/>
    <w:rsid w:val="00327734"/>
    <w:rsid w:val="0032775E"/>
    <w:rsid w:val="0032794A"/>
    <w:rsid w:val="00330A38"/>
    <w:rsid w:val="00330BF6"/>
    <w:rsid w:val="00331117"/>
    <w:rsid w:val="003312DD"/>
    <w:rsid w:val="00331391"/>
    <w:rsid w:val="003316CC"/>
    <w:rsid w:val="00331A8A"/>
    <w:rsid w:val="00333373"/>
    <w:rsid w:val="00333F46"/>
    <w:rsid w:val="00334449"/>
    <w:rsid w:val="0033457A"/>
    <w:rsid w:val="003361A6"/>
    <w:rsid w:val="00336278"/>
    <w:rsid w:val="00336875"/>
    <w:rsid w:val="003400EB"/>
    <w:rsid w:val="0034065F"/>
    <w:rsid w:val="003406FB"/>
    <w:rsid w:val="00340D2E"/>
    <w:rsid w:val="003413D2"/>
    <w:rsid w:val="003416F7"/>
    <w:rsid w:val="003419D9"/>
    <w:rsid w:val="00342134"/>
    <w:rsid w:val="00342622"/>
    <w:rsid w:val="0034277E"/>
    <w:rsid w:val="00343599"/>
    <w:rsid w:val="0034388B"/>
    <w:rsid w:val="00343BFE"/>
    <w:rsid w:val="00343E00"/>
    <w:rsid w:val="00343E98"/>
    <w:rsid w:val="003449AA"/>
    <w:rsid w:val="003450A0"/>
    <w:rsid w:val="003451D5"/>
    <w:rsid w:val="0034528C"/>
    <w:rsid w:val="0034528D"/>
    <w:rsid w:val="003454A5"/>
    <w:rsid w:val="00346674"/>
    <w:rsid w:val="00347222"/>
    <w:rsid w:val="00347408"/>
    <w:rsid w:val="00347AEC"/>
    <w:rsid w:val="00347B6A"/>
    <w:rsid w:val="00347E94"/>
    <w:rsid w:val="003511A5"/>
    <w:rsid w:val="0035161E"/>
    <w:rsid w:val="00351690"/>
    <w:rsid w:val="0035201F"/>
    <w:rsid w:val="00352427"/>
    <w:rsid w:val="00352ABD"/>
    <w:rsid w:val="00352BF1"/>
    <w:rsid w:val="00353973"/>
    <w:rsid w:val="00354481"/>
    <w:rsid w:val="0035450E"/>
    <w:rsid w:val="0035491B"/>
    <w:rsid w:val="00355294"/>
    <w:rsid w:val="00356390"/>
    <w:rsid w:val="003565A9"/>
    <w:rsid w:val="00356C02"/>
    <w:rsid w:val="00357D66"/>
    <w:rsid w:val="00357F19"/>
    <w:rsid w:val="00360526"/>
    <w:rsid w:val="0036052E"/>
    <w:rsid w:val="003607C6"/>
    <w:rsid w:val="0036101D"/>
    <w:rsid w:val="00361070"/>
    <w:rsid w:val="00361B93"/>
    <w:rsid w:val="00361BB5"/>
    <w:rsid w:val="00362DC2"/>
    <w:rsid w:val="0036309A"/>
    <w:rsid w:val="0036342A"/>
    <w:rsid w:val="0036389B"/>
    <w:rsid w:val="003638FE"/>
    <w:rsid w:val="003644CC"/>
    <w:rsid w:val="003645EF"/>
    <w:rsid w:val="003646A8"/>
    <w:rsid w:val="003649B6"/>
    <w:rsid w:val="00364A2E"/>
    <w:rsid w:val="00364BD6"/>
    <w:rsid w:val="00364E62"/>
    <w:rsid w:val="00364E64"/>
    <w:rsid w:val="00365135"/>
    <w:rsid w:val="00365A2B"/>
    <w:rsid w:val="003662FF"/>
    <w:rsid w:val="00367790"/>
    <w:rsid w:val="00367D4A"/>
    <w:rsid w:val="00370A31"/>
    <w:rsid w:val="00371DAE"/>
    <w:rsid w:val="00372722"/>
    <w:rsid w:val="003728F7"/>
    <w:rsid w:val="00372B87"/>
    <w:rsid w:val="00374C73"/>
    <w:rsid w:val="003752EF"/>
    <w:rsid w:val="003755B9"/>
    <w:rsid w:val="0037596C"/>
    <w:rsid w:val="00375C3C"/>
    <w:rsid w:val="00375C4C"/>
    <w:rsid w:val="00376473"/>
    <w:rsid w:val="00376EE7"/>
    <w:rsid w:val="003778F3"/>
    <w:rsid w:val="00377A0E"/>
    <w:rsid w:val="00377BEF"/>
    <w:rsid w:val="00380761"/>
    <w:rsid w:val="00381211"/>
    <w:rsid w:val="00381941"/>
    <w:rsid w:val="00381DF1"/>
    <w:rsid w:val="00382A17"/>
    <w:rsid w:val="0038310D"/>
    <w:rsid w:val="003833A3"/>
    <w:rsid w:val="00384962"/>
    <w:rsid w:val="00385778"/>
    <w:rsid w:val="003861B3"/>
    <w:rsid w:val="00387263"/>
    <w:rsid w:val="003872B9"/>
    <w:rsid w:val="00387389"/>
    <w:rsid w:val="00390658"/>
    <w:rsid w:val="00391097"/>
    <w:rsid w:val="00391C15"/>
    <w:rsid w:val="00391E25"/>
    <w:rsid w:val="0039244E"/>
    <w:rsid w:val="003934ED"/>
    <w:rsid w:val="003935B6"/>
    <w:rsid w:val="0039382D"/>
    <w:rsid w:val="003944E9"/>
    <w:rsid w:val="0039487D"/>
    <w:rsid w:val="00395C6A"/>
    <w:rsid w:val="00395F2E"/>
    <w:rsid w:val="003962BB"/>
    <w:rsid w:val="00396865"/>
    <w:rsid w:val="00396B5A"/>
    <w:rsid w:val="0039711D"/>
    <w:rsid w:val="003972D3"/>
    <w:rsid w:val="00397856"/>
    <w:rsid w:val="003A00D8"/>
    <w:rsid w:val="003A0B3D"/>
    <w:rsid w:val="003A1007"/>
    <w:rsid w:val="003A12F7"/>
    <w:rsid w:val="003A14EB"/>
    <w:rsid w:val="003A1911"/>
    <w:rsid w:val="003A2584"/>
    <w:rsid w:val="003A3B3D"/>
    <w:rsid w:val="003A4571"/>
    <w:rsid w:val="003A47DB"/>
    <w:rsid w:val="003A4F55"/>
    <w:rsid w:val="003A5A48"/>
    <w:rsid w:val="003A5DCA"/>
    <w:rsid w:val="003A6969"/>
    <w:rsid w:val="003A7747"/>
    <w:rsid w:val="003A7E0B"/>
    <w:rsid w:val="003A7FEA"/>
    <w:rsid w:val="003B01A6"/>
    <w:rsid w:val="003B0841"/>
    <w:rsid w:val="003B0D90"/>
    <w:rsid w:val="003B1333"/>
    <w:rsid w:val="003B16BD"/>
    <w:rsid w:val="003B2195"/>
    <w:rsid w:val="003B3706"/>
    <w:rsid w:val="003B3BF9"/>
    <w:rsid w:val="003B4FBD"/>
    <w:rsid w:val="003B50DA"/>
    <w:rsid w:val="003B5404"/>
    <w:rsid w:val="003B579C"/>
    <w:rsid w:val="003B6405"/>
    <w:rsid w:val="003B67FB"/>
    <w:rsid w:val="003B7168"/>
    <w:rsid w:val="003B72DE"/>
    <w:rsid w:val="003C00DE"/>
    <w:rsid w:val="003C02B3"/>
    <w:rsid w:val="003C045A"/>
    <w:rsid w:val="003C0BCD"/>
    <w:rsid w:val="003C0CA6"/>
    <w:rsid w:val="003C0F2D"/>
    <w:rsid w:val="003C11A6"/>
    <w:rsid w:val="003C1C0D"/>
    <w:rsid w:val="003C1E3E"/>
    <w:rsid w:val="003C22F0"/>
    <w:rsid w:val="003C2877"/>
    <w:rsid w:val="003C2B80"/>
    <w:rsid w:val="003C2D21"/>
    <w:rsid w:val="003C2D3E"/>
    <w:rsid w:val="003C3561"/>
    <w:rsid w:val="003C365F"/>
    <w:rsid w:val="003C3769"/>
    <w:rsid w:val="003C39B8"/>
    <w:rsid w:val="003C3B5B"/>
    <w:rsid w:val="003C4593"/>
    <w:rsid w:val="003C5900"/>
    <w:rsid w:val="003C64B0"/>
    <w:rsid w:val="003C6E2F"/>
    <w:rsid w:val="003C7195"/>
    <w:rsid w:val="003C7A28"/>
    <w:rsid w:val="003D0277"/>
    <w:rsid w:val="003D04E8"/>
    <w:rsid w:val="003D055A"/>
    <w:rsid w:val="003D0FC9"/>
    <w:rsid w:val="003D12EF"/>
    <w:rsid w:val="003D1497"/>
    <w:rsid w:val="003D16B3"/>
    <w:rsid w:val="003D17A1"/>
    <w:rsid w:val="003D1F87"/>
    <w:rsid w:val="003D26A0"/>
    <w:rsid w:val="003D2917"/>
    <w:rsid w:val="003D292F"/>
    <w:rsid w:val="003D2949"/>
    <w:rsid w:val="003D33FA"/>
    <w:rsid w:val="003D3894"/>
    <w:rsid w:val="003D38AA"/>
    <w:rsid w:val="003D3E91"/>
    <w:rsid w:val="003D42F2"/>
    <w:rsid w:val="003D4931"/>
    <w:rsid w:val="003D4BE8"/>
    <w:rsid w:val="003D4D90"/>
    <w:rsid w:val="003D4FC2"/>
    <w:rsid w:val="003D5338"/>
    <w:rsid w:val="003D5535"/>
    <w:rsid w:val="003D65DB"/>
    <w:rsid w:val="003D6B0A"/>
    <w:rsid w:val="003D7DBC"/>
    <w:rsid w:val="003E0FD0"/>
    <w:rsid w:val="003E1D14"/>
    <w:rsid w:val="003E286E"/>
    <w:rsid w:val="003E2EDD"/>
    <w:rsid w:val="003E336F"/>
    <w:rsid w:val="003E34A8"/>
    <w:rsid w:val="003E3CA5"/>
    <w:rsid w:val="003E403D"/>
    <w:rsid w:val="003E4240"/>
    <w:rsid w:val="003E4663"/>
    <w:rsid w:val="003E4C37"/>
    <w:rsid w:val="003E613E"/>
    <w:rsid w:val="003E6446"/>
    <w:rsid w:val="003E6448"/>
    <w:rsid w:val="003E7B34"/>
    <w:rsid w:val="003F02BF"/>
    <w:rsid w:val="003F0321"/>
    <w:rsid w:val="003F04A4"/>
    <w:rsid w:val="003F07FD"/>
    <w:rsid w:val="003F211F"/>
    <w:rsid w:val="003F264B"/>
    <w:rsid w:val="003F2F8E"/>
    <w:rsid w:val="003F39FB"/>
    <w:rsid w:val="003F3A27"/>
    <w:rsid w:val="003F47C8"/>
    <w:rsid w:val="003F4FB6"/>
    <w:rsid w:val="003F501B"/>
    <w:rsid w:val="003F5076"/>
    <w:rsid w:val="003F583A"/>
    <w:rsid w:val="003F64B0"/>
    <w:rsid w:val="003F6531"/>
    <w:rsid w:val="003F6610"/>
    <w:rsid w:val="003F67E8"/>
    <w:rsid w:val="003F688B"/>
    <w:rsid w:val="003F6895"/>
    <w:rsid w:val="003F6A7A"/>
    <w:rsid w:val="003F6BEF"/>
    <w:rsid w:val="003F7AF9"/>
    <w:rsid w:val="00401364"/>
    <w:rsid w:val="0040137F"/>
    <w:rsid w:val="0040143F"/>
    <w:rsid w:val="004016E6"/>
    <w:rsid w:val="004017B5"/>
    <w:rsid w:val="00401BD4"/>
    <w:rsid w:val="004022DC"/>
    <w:rsid w:val="00402541"/>
    <w:rsid w:val="004025EE"/>
    <w:rsid w:val="00402DF1"/>
    <w:rsid w:val="004037C7"/>
    <w:rsid w:val="004038D2"/>
    <w:rsid w:val="004039C4"/>
    <w:rsid w:val="00403EB4"/>
    <w:rsid w:val="004043DB"/>
    <w:rsid w:val="00404A68"/>
    <w:rsid w:val="0040543F"/>
    <w:rsid w:val="0040551C"/>
    <w:rsid w:val="00405A55"/>
    <w:rsid w:val="00406A0A"/>
    <w:rsid w:val="00407F68"/>
    <w:rsid w:val="00410372"/>
    <w:rsid w:val="00410415"/>
    <w:rsid w:val="00411132"/>
    <w:rsid w:val="00411975"/>
    <w:rsid w:val="00411E6A"/>
    <w:rsid w:val="00412D98"/>
    <w:rsid w:val="00412E1A"/>
    <w:rsid w:val="004131DC"/>
    <w:rsid w:val="00413BC4"/>
    <w:rsid w:val="004140A0"/>
    <w:rsid w:val="00414572"/>
    <w:rsid w:val="00414C65"/>
    <w:rsid w:val="00415436"/>
    <w:rsid w:val="00415AB7"/>
    <w:rsid w:val="0041630D"/>
    <w:rsid w:val="00416957"/>
    <w:rsid w:val="004177D4"/>
    <w:rsid w:val="00417B60"/>
    <w:rsid w:val="00417F07"/>
    <w:rsid w:val="00417F30"/>
    <w:rsid w:val="00420A19"/>
    <w:rsid w:val="004211DA"/>
    <w:rsid w:val="00421A32"/>
    <w:rsid w:val="0042277C"/>
    <w:rsid w:val="00423741"/>
    <w:rsid w:val="0042382A"/>
    <w:rsid w:val="00423B79"/>
    <w:rsid w:val="00423CE8"/>
    <w:rsid w:val="00423F5F"/>
    <w:rsid w:val="004242F2"/>
    <w:rsid w:val="00424326"/>
    <w:rsid w:val="00425192"/>
    <w:rsid w:val="004255A7"/>
    <w:rsid w:val="00425604"/>
    <w:rsid w:val="0042564C"/>
    <w:rsid w:val="00425F39"/>
    <w:rsid w:val="004264A9"/>
    <w:rsid w:val="00426E54"/>
    <w:rsid w:val="00427785"/>
    <w:rsid w:val="00427D08"/>
    <w:rsid w:val="00430754"/>
    <w:rsid w:val="00430A50"/>
    <w:rsid w:val="0043137C"/>
    <w:rsid w:val="004317B6"/>
    <w:rsid w:val="004318BE"/>
    <w:rsid w:val="004328B7"/>
    <w:rsid w:val="00432EC7"/>
    <w:rsid w:val="00432F85"/>
    <w:rsid w:val="004334C0"/>
    <w:rsid w:val="004335FA"/>
    <w:rsid w:val="0043407C"/>
    <w:rsid w:val="004343AC"/>
    <w:rsid w:val="0043452D"/>
    <w:rsid w:val="00434BC2"/>
    <w:rsid w:val="00434FDD"/>
    <w:rsid w:val="00435532"/>
    <w:rsid w:val="00435BFB"/>
    <w:rsid w:val="00436090"/>
    <w:rsid w:val="00436C15"/>
    <w:rsid w:val="00440313"/>
    <w:rsid w:val="00440631"/>
    <w:rsid w:val="004413D6"/>
    <w:rsid w:val="00441808"/>
    <w:rsid w:val="00441D53"/>
    <w:rsid w:val="0044288A"/>
    <w:rsid w:val="00442B61"/>
    <w:rsid w:val="00442C77"/>
    <w:rsid w:val="0044350C"/>
    <w:rsid w:val="004435C2"/>
    <w:rsid w:val="00443893"/>
    <w:rsid w:val="00443CED"/>
    <w:rsid w:val="00443FA7"/>
    <w:rsid w:val="00444011"/>
    <w:rsid w:val="004440BD"/>
    <w:rsid w:val="0044453C"/>
    <w:rsid w:val="00444C09"/>
    <w:rsid w:val="004461E7"/>
    <w:rsid w:val="004469F0"/>
    <w:rsid w:val="0044792A"/>
    <w:rsid w:val="004507D2"/>
    <w:rsid w:val="00450912"/>
    <w:rsid w:val="0045118D"/>
    <w:rsid w:val="0045169E"/>
    <w:rsid w:val="0045187B"/>
    <w:rsid w:val="00451EBD"/>
    <w:rsid w:val="004528A1"/>
    <w:rsid w:val="0045297F"/>
    <w:rsid w:val="00452A22"/>
    <w:rsid w:val="00452B6A"/>
    <w:rsid w:val="0045326D"/>
    <w:rsid w:val="00453E27"/>
    <w:rsid w:val="00454097"/>
    <w:rsid w:val="004541E7"/>
    <w:rsid w:val="004542E3"/>
    <w:rsid w:val="004548AA"/>
    <w:rsid w:val="00454FFE"/>
    <w:rsid w:val="004552AF"/>
    <w:rsid w:val="00455BB4"/>
    <w:rsid w:val="00455D20"/>
    <w:rsid w:val="0045627D"/>
    <w:rsid w:val="004564E5"/>
    <w:rsid w:val="004565AF"/>
    <w:rsid w:val="004568DF"/>
    <w:rsid w:val="00456909"/>
    <w:rsid w:val="00456E38"/>
    <w:rsid w:val="00456FCC"/>
    <w:rsid w:val="00456FEC"/>
    <w:rsid w:val="004604CE"/>
    <w:rsid w:val="00460DB5"/>
    <w:rsid w:val="00460E56"/>
    <w:rsid w:val="00460FDF"/>
    <w:rsid w:val="004610BD"/>
    <w:rsid w:val="00461105"/>
    <w:rsid w:val="004621E9"/>
    <w:rsid w:val="00462510"/>
    <w:rsid w:val="00462B3D"/>
    <w:rsid w:val="00463398"/>
    <w:rsid w:val="004648D9"/>
    <w:rsid w:val="00464A02"/>
    <w:rsid w:val="00464AB3"/>
    <w:rsid w:val="00464C2D"/>
    <w:rsid w:val="00465A85"/>
    <w:rsid w:val="00465CEE"/>
    <w:rsid w:val="004662E3"/>
    <w:rsid w:val="004664FA"/>
    <w:rsid w:val="00466751"/>
    <w:rsid w:val="00466ED1"/>
    <w:rsid w:val="00466F2E"/>
    <w:rsid w:val="00467229"/>
    <w:rsid w:val="0046747F"/>
    <w:rsid w:val="00467A7A"/>
    <w:rsid w:val="00470130"/>
    <w:rsid w:val="0047024C"/>
    <w:rsid w:val="00470FF9"/>
    <w:rsid w:val="00471452"/>
    <w:rsid w:val="00471F91"/>
    <w:rsid w:val="00473014"/>
    <w:rsid w:val="0047339E"/>
    <w:rsid w:val="004738F7"/>
    <w:rsid w:val="0047476B"/>
    <w:rsid w:val="004752E0"/>
    <w:rsid w:val="004753E3"/>
    <w:rsid w:val="00475BAE"/>
    <w:rsid w:val="0047605D"/>
    <w:rsid w:val="00476482"/>
    <w:rsid w:val="0047663B"/>
    <w:rsid w:val="00477006"/>
    <w:rsid w:val="0047712F"/>
    <w:rsid w:val="004772A5"/>
    <w:rsid w:val="0047744F"/>
    <w:rsid w:val="0048093E"/>
    <w:rsid w:val="0048139D"/>
    <w:rsid w:val="00481BA9"/>
    <w:rsid w:val="00481D40"/>
    <w:rsid w:val="00482921"/>
    <w:rsid w:val="004831FC"/>
    <w:rsid w:val="00483B15"/>
    <w:rsid w:val="004845D5"/>
    <w:rsid w:val="00484E0E"/>
    <w:rsid w:val="00485139"/>
    <w:rsid w:val="00485159"/>
    <w:rsid w:val="00485715"/>
    <w:rsid w:val="004857BF"/>
    <w:rsid w:val="00485A28"/>
    <w:rsid w:val="00485BEF"/>
    <w:rsid w:val="0048633B"/>
    <w:rsid w:val="00486554"/>
    <w:rsid w:val="00486DA7"/>
    <w:rsid w:val="00487431"/>
    <w:rsid w:val="00487E55"/>
    <w:rsid w:val="00487E94"/>
    <w:rsid w:val="004917C4"/>
    <w:rsid w:val="00491FBD"/>
    <w:rsid w:val="004928DB"/>
    <w:rsid w:val="00492BC2"/>
    <w:rsid w:val="004934B2"/>
    <w:rsid w:val="00493BDA"/>
    <w:rsid w:val="00493C92"/>
    <w:rsid w:val="00494068"/>
    <w:rsid w:val="00494B96"/>
    <w:rsid w:val="00494CFC"/>
    <w:rsid w:val="004951E4"/>
    <w:rsid w:val="0049547B"/>
    <w:rsid w:val="00495A87"/>
    <w:rsid w:val="0049624D"/>
    <w:rsid w:val="0049696E"/>
    <w:rsid w:val="00496EA9"/>
    <w:rsid w:val="004973DC"/>
    <w:rsid w:val="004974C5"/>
    <w:rsid w:val="00497560"/>
    <w:rsid w:val="00497729"/>
    <w:rsid w:val="004A0813"/>
    <w:rsid w:val="004A14C2"/>
    <w:rsid w:val="004A16EE"/>
    <w:rsid w:val="004A1D16"/>
    <w:rsid w:val="004A1FD1"/>
    <w:rsid w:val="004A35E0"/>
    <w:rsid w:val="004A37E8"/>
    <w:rsid w:val="004A392D"/>
    <w:rsid w:val="004A3A38"/>
    <w:rsid w:val="004A3A91"/>
    <w:rsid w:val="004A3FFB"/>
    <w:rsid w:val="004A5133"/>
    <w:rsid w:val="004A63A2"/>
    <w:rsid w:val="004A6784"/>
    <w:rsid w:val="004A68CB"/>
    <w:rsid w:val="004A7EF3"/>
    <w:rsid w:val="004B2125"/>
    <w:rsid w:val="004B225F"/>
    <w:rsid w:val="004B3566"/>
    <w:rsid w:val="004B3BDF"/>
    <w:rsid w:val="004B4226"/>
    <w:rsid w:val="004B4605"/>
    <w:rsid w:val="004B4F45"/>
    <w:rsid w:val="004B53F9"/>
    <w:rsid w:val="004B5CDE"/>
    <w:rsid w:val="004B6645"/>
    <w:rsid w:val="004B6BD3"/>
    <w:rsid w:val="004B7200"/>
    <w:rsid w:val="004B73B8"/>
    <w:rsid w:val="004B73C9"/>
    <w:rsid w:val="004B7642"/>
    <w:rsid w:val="004B7F62"/>
    <w:rsid w:val="004C0EC3"/>
    <w:rsid w:val="004C166C"/>
    <w:rsid w:val="004C1C97"/>
    <w:rsid w:val="004C23EB"/>
    <w:rsid w:val="004C2867"/>
    <w:rsid w:val="004C2997"/>
    <w:rsid w:val="004C32C5"/>
    <w:rsid w:val="004C37AC"/>
    <w:rsid w:val="004C45E3"/>
    <w:rsid w:val="004C467F"/>
    <w:rsid w:val="004C5CA0"/>
    <w:rsid w:val="004C6275"/>
    <w:rsid w:val="004C6A1A"/>
    <w:rsid w:val="004C6DBB"/>
    <w:rsid w:val="004C7044"/>
    <w:rsid w:val="004C7151"/>
    <w:rsid w:val="004C726D"/>
    <w:rsid w:val="004C7661"/>
    <w:rsid w:val="004D026F"/>
    <w:rsid w:val="004D0699"/>
    <w:rsid w:val="004D0839"/>
    <w:rsid w:val="004D0B6D"/>
    <w:rsid w:val="004D0BB2"/>
    <w:rsid w:val="004D100C"/>
    <w:rsid w:val="004D152D"/>
    <w:rsid w:val="004D17C4"/>
    <w:rsid w:val="004D200E"/>
    <w:rsid w:val="004D208B"/>
    <w:rsid w:val="004D232F"/>
    <w:rsid w:val="004D270A"/>
    <w:rsid w:val="004D436D"/>
    <w:rsid w:val="004D4B95"/>
    <w:rsid w:val="004D5256"/>
    <w:rsid w:val="004D652C"/>
    <w:rsid w:val="004D71BA"/>
    <w:rsid w:val="004D76C0"/>
    <w:rsid w:val="004D77F0"/>
    <w:rsid w:val="004D7E88"/>
    <w:rsid w:val="004E0A41"/>
    <w:rsid w:val="004E0FE8"/>
    <w:rsid w:val="004E19AC"/>
    <w:rsid w:val="004E1D74"/>
    <w:rsid w:val="004E1E02"/>
    <w:rsid w:val="004E1F23"/>
    <w:rsid w:val="004E22FB"/>
    <w:rsid w:val="004E325A"/>
    <w:rsid w:val="004E3821"/>
    <w:rsid w:val="004E3B00"/>
    <w:rsid w:val="004E3F7C"/>
    <w:rsid w:val="004E4736"/>
    <w:rsid w:val="004E496B"/>
    <w:rsid w:val="004E4D9D"/>
    <w:rsid w:val="004E5A1B"/>
    <w:rsid w:val="004E5FB2"/>
    <w:rsid w:val="004E6435"/>
    <w:rsid w:val="004E64EA"/>
    <w:rsid w:val="004E6EDD"/>
    <w:rsid w:val="004E7284"/>
    <w:rsid w:val="004E74C2"/>
    <w:rsid w:val="004E790B"/>
    <w:rsid w:val="004E7CF9"/>
    <w:rsid w:val="004E7E1E"/>
    <w:rsid w:val="004F0858"/>
    <w:rsid w:val="004F0C46"/>
    <w:rsid w:val="004F11BB"/>
    <w:rsid w:val="004F161C"/>
    <w:rsid w:val="004F2239"/>
    <w:rsid w:val="004F2F06"/>
    <w:rsid w:val="004F4209"/>
    <w:rsid w:val="004F439B"/>
    <w:rsid w:val="004F526C"/>
    <w:rsid w:val="004F5349"/>
    <w:rsid w:val="004F53C3"/>
    <w:rsid w:val="004F5519"/>
    <w:rsid w:val="004F5AFE"/>
    <w:rsid w:val="004F6169"/>
    <w:rsid w:val="004F6A91"/>
    <w:rsid w:val="004F6F0B"/>
    <w:rsid w:val="004F7124"/>
    <w:rsid w:val="005016DE"/>
    <w:rsid w:val="005017F0"/>
    <w:rsid w:val="005021C8"/>
    <w:rsid w:val="005023B1"/>
    <w:rsid w:val="0050318C"/>
    <w:rsid w:val="005049AF"/>
    <w:rsid w:val="00504FF8"/>
    <w:rsid w:val="005055C4"/>
    <w:rsid w:val="00505F8A"/>
    <w:rsid w:val="005063AE"/>
    <w:rsid w:val="00506867"/>
    <w:rsid w:val="00506BDA"/>
    <w:rsid w:val="00507168"/>
    <w:rsid w:val="005079B9"/>
    <w:rsid w:val="005101B1"/>
    <w:rsid w:val="00510697"/>
    <w:rsid w:val="00511233"/>
    <w:rsid w:val="00511496"/>
    <w:rsid w:val="0051152F"/>
    <w:rsid w:val="00511766"/>
    <w:rsid w:val="0051225F"/>
    <w:rsid w:val="005122A2"/>
    <w:rsid w:val="00512C0B"/>
    <w:rsid w:val="00514C09"/>
    <w:rsid w:val="00515705"/>
    <w:rsid w:val="0051652D"/>
    <w:rsid w:val="00516733"/>
    <w:rsid w:val="00516AA8"/>
    <w:rsid w:val="00516BAA"/>
    <w:rsid w:val="00517586"/>
    <w:rsid w:val="00517DF8"/>
    <w:rsid w:val="00517E57"/>
    <w:rsid w:val="00520503"/>
    <w:rsid w:val="00521025"/>
    <w:rsid w:val="00521321"/>
    <w:rsid w:val="00522400"/>
    <w:rsid w:val="0052307B"/>
    <w:rsid w:val="00523251"/>
    <w:rsid w:val="005233E6"/>
    <w:rsid w:val="00523B45"/>
    <w:rsid w:val="00523BA0"/>
    <w:rsid w:val="00523C0B"/>
    <w:rsid w:val="00523C47"/>
    <w:rsid w:val="00523CA1"/>
    <w:rsid w:val="00524109"/>
    <w:rsid w:val="00524320"/>
    <w:rsid w:val="00524A35"/>
    <w:rsid w:val="00524ABE"/>
    <w:rsid w:val="00524CE7"/>
    <w:rsid w:val="0052658E"/>
    <w:rsid w:val="00526C2B"/>
    <w:rsid w:val="0052724B"/>
    <w:rsid w:val="00527F9B"/>
    <w:rsid w:val="0053081A"/>
    <w:rsid w:val="00531030"/>
    <w:rsid w:val="00531370"/>
    <w:rsid w:val="00532251"/>
    <w:rsid w:val="0053225C"/>
    <w:rsid w:val="005322F7"/>
    <w:rsid w:val="0053336F"/>
    <w:rsid w:val="00533979"/>
    <w:rsid w:val="00534408"/>
    <w:rsid w:val="0053517F"/>
    <w:rsid w:val="00535594"/>
    <w:rsid w:val="005358BA"/>
    <w:rsid w:val="005358C4"/>
    <w:rsid w:val="005358F5"/>
    <w:rsid w:val="00535B83"/>
    <w:rsid w:val="00535DD3"/>
    <w:rsid w:val="00535E51"/>
    <w:rsid w:val="005364BC"/>
    <w:rsid w:val="0053762C"/>
    <w:rsid w:val="00537D74"/>
    <w:rsid w:val="005400AA"/>
    <w:rsid w:val="00542984"/>
    <w:rsid w:val="00542A2D"/>
    <w:rsid w:val="00543408"/>
    <w:rsid w:val="0054342A"/>
    <w:rsid w:val="00543E77"/>
    <w:rsid w:val="00544650"/>
    <w:rsid w:val="005446BC"/>
    <w:rsid w:val="005452F1"/>
    <w:rsid w:val="00545FCD"/>
    <w:rsid w:val="00546725"/>
    <w:rsid w:val="005471FE"/>
    <w:rsid w:val="005477DF"/>
    <w:rsid w:val="00550DBE"/>
    <w:rsid w:val="00551115"/>
    <w:rsid w:val="0055193F"/>
    <w:rsid w:val="0055212E"/>
    <w:rsid w:val="0055279A"/>
    <w:rsid w:val="00552EEE"/>
    <w:rsid w:val="00553142"/>
    <w:rsid w:val="00553D33"/>
    <w:rsid w:val="00555831"/>
    <w:rsid w:val="00555EB8"/>
    <w:rsid w:val="005562FB"/>
    <w:rsid w:val="0055671D"/>
    <w:rsid w:val="00556DD7"/>
    <w:rsid w:val="00556EE2"/>
    <w:rsid w:val="00560014"/>
    <w:rsid w:val="005600AE"/>
    <w:rsid w:val="00561C66"/>
    <w:rsid w:val="00562354"/>
    <w:rsid w:val="00563168"/>
    <w:rsid w:val="005632ED"/>
    <w:rsid w:val="00563DF2"/>
    <w:rsid w:val="005650E2"/>
    <w:rsid w:val="00565B60"/>
    <w:rsid w:val="00566024"/>
    <w:rsid w:val="00566CE1"/>
    <w:rsid w:val="005670AE"/>
    <w:rsid w:val="005677BF"/>
    <w:rsid w:val="00570046"/>
    <w:rsid w:val="0057013A"/>
    <w:rsid w:val="00570697"/>
    <w:rsid w:val="00570B47"/>
    <w:rsid w:val="005714B8"/>
    <w:rsid w:val="00571936"/>
    <w:rsid w:val="00571A59"/>
    <w:rsid w:val="00571A9F"/>
    <w:rsid w:val="00572162"/>
    <w:rsid w:val="00572FB1"/>
    <w:rsid w:val="00572FEC"/>
    <w:rsid w:val="00573750"/>
    <w:rsid w:val="00573999"/>
    <w:rsid w:val="00573D52"/>
    <w:rsid w:val="00574397"/>
    <w:rsid w:val="00574C0D"/>
    <w:rsid w:val="005755D6"/>
    <w:rsid w:val="00575AD7"/>
    <w:rsid w:val="00575AE8"/>
    <w:rsid w:val="00575C16"/>
    <w:rsid w:val="005764AD"/>
    <w:rsid w:val="00577485"/>
    <w:rsid w:val="00577898"/>
    <w:rsid w:val="005779CF"/>
    <w:rsid w:val="0058001F"/>
    <w:rsid w:val="00580742"/>
    <w:rsid w:val="00580B66"/>
    <w:rsid w:val="005816B4"/>
    <w:rsid w:val="005823EC"/>
    <w:rsid w:val="0058361F"/>
    <w:rsid w:val="00583C2D"/>
    <w:rsid w:val="00583F6C"/>
    <w:rsid w:val="00584137"/>
    <w:rsid w:val="0058451D"/>
    <w:rsid w:val="00584590"/>
    <w:rsid w:val="00585A7C"/>
    <w:rsid w:val="00586B4C"/>
    <w:rsid w:val="00586C31"/>
    <w:rsid w:val="005871E6"/>
    <w:rsid w:val="00587E5F"/>
    <w:rsid w:val="00590016"/>
    <w:rsid w:val="005900E2"/>
    <w:rsid w:val="00590485"/>
    <w:rsid w:val="00590CE5"/>
    <w:rsid w:val="00591292"/>
    <w:rsid w:val="00591784"/>
    <w:rsid w:val="005919DA"/>
    <w:rsid w:val="0059258F"/>
    <w:rsid w:val="00592787"/>
    <w:rsid w:val="00593FE3"/>
    <w:rsid w:val="00594667"/>
    <w:rsid w:val="005946A1"/>
    <w:rsid w:val="0059489B"/>
    <w:rsid w:val="0059651C"/>
    <w:rsid w:val="005968A8"/>
    <w:rsid w:val="005A0792"/>
    <w:rsid w:val="005A09B0"/>
    <w:rsid w:val="005A15E4"/>
    <w:rsid w:val="005A1950"/>
    <w:rsid w:val="005A299C"/>
    <w:rsid w:val="005A3A0A"/>
    <w:rsid w:val="005A3B1E"/>
    <w:rsid w:val="005A4EE0"/>
    <w:rsid w:val="005A5795"/>
    <w:rsid w:val="005A5BC0"/>
    <w:rsid w:val="005A601A"/>
    <w:rsid w:val="005A63A0"/>
    <w:rsid w:val="005A6502"/>
    <w:rsid w:val="005A734A"/>
    <w:rsid w:val="005A745E"/>
    <w:rsid w:val="005B0196"/>
    <w:rsid w:val="005B0361"/>
    <w:rsid w:val="005B0398"/>
    <w:rsid w:val="005B0564"/>
    <w:rsid w:val="005B0C20"/>
    <w:rsid w:val="005B0F65"/>
    <w:rsid w:val="005B19CF"/>
    <w:rsid w:val="005B1C9D"/>
    <w:rsid w:val="005B2220"/>
    <w:rsid w:val="005B22CD"/>
    <w:rsid w:val="005B2D01"/>
    <w:rsid w:val="005B32A9"/>
    <w:rsid w:val="005B3476"/>
    <w:rsid w:val="005B3B7D"/>
    <w:rsid w:val="005B3ED7"/>
    <w:rsid w:val="005B41FB"/>
    <w:rsid w:val="005B514E"/>
    <w:rsid w:val="005B64E2"/>
    <w:rsid w:val="005B673E"/>
    <w:rsid w:val="005B687B"/>
    <w:rsid w:val="005B79F6"/>
    <w:rsid w:val="005B7CFB"/>
    <w:rsid w:val="005B7DD9"/>
    <w:rsid w:val="005C0194"/>
    <w:rsid w:val="005C0F46"/>
    <w:rsid w:val="005C408B"/>
    <w:rsid w:val="005C523C"/>
    <w:rsid w:val="005C57BF"/>
    <w:rsid w:val="005C5A6D"/>
    <w:rsid w:val="005C5ABB"/>
    <w:rsid w:val="005C5B31"/>
    <w:rsid w:val="005C621F"/>
    <w:rsid w:val="005C6628"/>
    <w:rsid w:val="005C6EF1"/>
    <w:rsid w:val="005C751C"/>
    <w:rsid w:val="005D0142"/>
    <w:rsid w:val="005D076F"/>
    <w:rsid w:val="005D3624"/>
    <w:rsid w:val="005D3E4A"/>
    <w:rsid w:val="005D3F42"/>
    <w:rsid w:val="005D46F7"/>
    <w:rsid w:val="005D4D3E"/>
    <w:rsid w:val="005D55E0"/>
    <w:rsid w:val="005D56AE"/>
    <w:rsid w:val="005D5BDA"/>
    <w:rsid w:val="005D5F8F"/>
    <w:rsid w:val="005D641E"/>
    <w:rsid w:val="005D6738"/>
    <w:rsid w:val="005D68E3"/>
    <w:rsid w:val="005D78EE"/>
    <w:rsid w:val="005D7C59"/>
    <w:rsid w:val="005E04F7"/>
    <w:rsid w:val="005E0634"/>
    <w:rsid w:val="005E0A04"/>
    <w:rsid w:val="005E1489"/>
    <w:rsid w:val="005E1CE7"/>
    <w:rsid w:val="005E2FB1"/>
    <w:rsid w:val="005E3444"/>
    <w:rsid w:val="005E3B38"/>
    <w:rsid w:val="005E4095"/>
    <w:rsid w:val="005E463B"/>
    <w:rsid w:val="005E5164"/>
    <w:rsid w:val="005E52EE"/>
    <w:rsid w:val="005E553B"/>
    <w:rsid w:val="005E56F9"/>
    <w:rsid w:val="005E582B"/>
    <w:rsid w:val="005E598E"/>
    <w:rsid w:val="005E64C7"/>
    <w:rsid w:val="005E6650"/>
    <w:rsid w:val="005E6DAF"/>
    <w:rsid w:val="005E77FA"/>
    <w:rsid w:val="005E78FE"/>
    <w:rsid w:val="005E798C"/>
    <w:rsid w:val="005E7BE1"/>
    <w:rsid w:val="005E7C26"/>
    <w:rsid w:val="005E7C31"/>
    <w:rsid w:val="005F09D0"/>
    <w:rsid w:val="005F09F6"/>
    <w:rsid w:val="005F0C7C"/>
    <w:rsid w:val="005F37EB"/>
    <w:rsid w:val="005F3D0E"/>
    <w:rsid w:val="005F4ADE"/>
    <w:rsid w:val="005F4F96"/>
    <w:rsid w:val="005F5FD4"/>
    <w:rsid w:val="005F6EE9"/>
    <w:rsid w:val="005F76FF"/>
    <w:rsid w:val="00600733"/>
    <w:rsid w:val="00600C64"/>
    <w:rsid w:val="00600D7F"/>
    <w:rsid w:val="006015AF"/>
    <w:rsid w:val="00601E17"/>
    <w:rsid w:val="00603923"/>
    <w:rsid w:val="0060400E"/>
    <w:rsid w:val="006041C1"/>
    <w:rsid w:val="0060421B"/>
    <w:rsid w:val="00604BB9"/>
    <w:rsid w:val="00604BFF"/>
    <w:rsid w:val="00604F95"/>
    <w:rsid w:val="00605782"/>
    <w:rsid w:val="006059E8"/>
    <w:rsid w:val="00605E8F"/>
    <w:rsid w:val="00606AC4"/>
    <w:rsid w:val="00607482"/>
    <w:rsid w:val="006077CE"/>
    <w:rsid w:val="00607EC1"/>
    <w:rsid w:val="00607F0E"/>
    <w:rsid w:val="006104B0"/>
    <w:rsid w:val="006106C8"/>
    <w:rsid w:val="00610C56"/>
    <w:rsid w:val="00611EFD"/>
    <w:rsid w:val="0061272C"/>
    <w:rsid w:val="00612F74"/>
    <w:rsid w:val="00613BAB"/>
    <w:rsid w:val="00613E32"/>
    <w:rsid w:val="00614250"/>
    <w:rsid w:val="00614E72"/>
    <w:rsid w:val="006158CB"/>
    <w:rsid w:val="00615AB8"/>
    <w:rsid w:val="00620160"/>
    <w:rsid w:val="0062026A"/>
    <w:rsid w:val="00620753"/>
    <w:rsid w:val="00620D88"/>
    <w:rsid w:val="006216FD"/>
    <w:rsid w:val="00621722"/>
    <w:rsid w:val="00621ED6"/>
    <w:rsid w:val="00621F44"/>
    <w:rsid w:val="00622830"/>
    <w:rsid w:val="00622B64"/>
    <w:rsid w:val="00622B6A"/>
    <w:rsid w:val="00622BDB"/>
    <w:rsid w:val="00622CF7"/>
    <w:rsid w:val="00623068"/>
    <w:rsid w:val="006242EC"/>
    <w:rsid w:val="00624887"/>
    <w:rsid w:val="006249EC"/>
    <w:rsid w:val="00625019"/>
    <w:rsid w:val="0062574C"/>
    <w:rsid w:val="00626B5A"/>
    <w:rsid w:val="00626CF2"/>
    <w:rsid w:val="00627323"/>
    <w:rsid w:val="006279F3"/>
    <w:rsid w:val="00630921"/>
    <w:rsid w:val="006309AA"/>
    <w:rsid w:val="006318C8"/>
    <w:rsid w:val="00631FC9"/>
    <w:rsid w:val="006343B4"/>
    <w:rsid w:val="0063475E"/>
    <w:rsid w:val="00634CDF"/>
    <w:rsid w:val="006350D0"/>
    <w:rsid w:val="0063515A"/>
    <w:rsid w:val="00635205"/>
    <w:rsid w:val="00636A1E"/>
    <w:rsid w:val="0063799F"/>
    <w:rsid w:val="00637EEA"/>
    <w:rsid w:val="0064066E"/>
    <w:rsid w:val="0064117C"/>
    <w:rsid w:val="0064120C"/>
    <w:rsid w:val="00641B8D"/>
    <w:rsid w:val="00642C7E"/>
    <w:rsid w:val="006431E4"/>
    <w:rsid w:val="006433DA"/>
    <w:rsid w:val="006435BE"/>
    <w:rsid w:val="00643821"/>
    <w:rsid w:val="00643E13"/>
    <w:rsid w:val="00643E44"/>
    <w:rsid w:val="00644024"/>
    <w:rsid w:val="00644333"/>
    <w:rsid w:val="006445FF"/>
    <w:rsid w:val="006448CF"/>
    <w:rsid w:val="00644CFC"/>
    <w:rsid w:val="00644D59"/>
    <w:rsid w:val="00644FEF"/>
    <w:rsid w:val="00645258"/>
    <w:rsid w:val="00645EF6"/>
    <w:rsid w:val="00646B47"/>
    <w:rsid w:val="00647415"/>
    <w:rsid w:val="00647AEC"/>
    <w:rsid w:val="00647F6D"/>
    <w:rsid w:val="006504FF"/>
    <w:rsid w:val="00650616"/>
    <w:rsid w:val="00650AF3"/>
    <w:rsid w:val="00651C2F"/>
    <w:rsid w:val="00652894"/>
    <w:rsid w:val="00652AB2"/>
    <w:rsid w:val="00652B23"/>
    <w:rsid w:val="0065390B"/>
    <w:rsid w:val="00653949"/>
    <w:rsid w:val="00653D04"/>
    <w:rsid w:val="006543B9"/>
    <w:rsid w:val="00654854"/>
    <w:rsid w:val="00654C0A"/>
    <w:rsid w:val="00654DC8"/>
    <w:rsid w:val="0065530B"/>
    <w:rsid w:val="006556E3"/>
    <w:rsid w:val="00656336"/>
    <w:rsid w:val="0065686D"/>
    <w:rsid w:val="00656DBD"/>
    <w:rsid w:val="00657A3A"/>
    <w:rsid w:val="00657B64"/>
    <w:rsid w:val="006602EF"/>
    <w:rsid w:val="00660632"/>
    <w:rsid w:val="00660DD2"/>
    <w:rsid w:val="00661866"/>
    <w:rsid w:val="006619FF"/>
    <w:rsid w:val="00661F2D"/>
    <w:rsid w:val="006627FB"/>
    <w:rsid w:val="00662803"/>
    <w:rsid w:val="00662A8F"/>
    <w:rsid w:val="00662B72"/>
    <w:rsid w:val="006636F6"/>
    <w:rsid w:val="0066495A"/>
    <w:rsid w:val="00665339"/>
    <w:rsid w:val="0066576C"/>
    <w:rsid w:val="00665883"/>
    <w:rsid w:val="00665C8C"/>
    <w:rsid w:val="00665E75"/>
    <w:rsid w:val="00666388"/>
    <w:rsid w:val="00667CD3"/>
    <w:rsid w:val="00667CDB"/>
    <w:rsid w:val="006706A6"/>
    <w:rsid w:val="006709B4"/>
    <w:rsid w:val="00670A34"/>
    <w:rsid w:val="00670C66"/>
    <w:rsid w:val="00671140"/>
    <w:rsid w:val="0067117C"/>
    <w:rsid w:val="00672C09"/>
    <w:rsid w:val="00672C33"/>
    <w:rsid w:val="00672FA7"/>
    <w:rsid w:val="006732E1"/>
    <w:rsid w:val="00674171"/>
    <w:rsid w:val="0067465C"/>
    <w:rsid w:val="00674A6C"/>
    <w:rsid w:val="00675D0D"/>
    <w:rsid w:val="00675DCD"/>
    <w:rsid w:val="00675E7B"/>
    <w:rsid w:val="00675FE2"/>
    <w:rsid w:val="00676EB3"/>
    <w:rsid w:val="006772F5"/>
    <w:rsid w:val="00677CBF"/>
    <w:rsid w:val="006804CE"/>
    <w:rsid w:val="006805A1"/>
    <w:rsid w:val="00680CAE"/>
    <w:rsid w:val="00680D10"/>
    <w:rsid w:val="00680DAA"/>
    <w:rsid w:val="0068161C"/>
    <w:rsid w:val="0068283F"/>
    <w:rsid w:val="00683689"/>
    <w:rsid w:val="006838AC"/>
    <w:rsid w:val="00684536"/>
    <w:rsid w:val="00684EDD"/>
    <w:rsid w:val="006855E4"/>
    <w:rsid w:val="00685965"/>
    <w:rsid w:val="00685B60"/>
    <w:rsid w:val="00686042"/>
    <w:rsid w:val="006861D6"/>
    <w:rsid w:val="006864C5"/>
    <w:rsid w:val="00686807"/>
    <w:rsid w:val="00686A40"/>
    <w:rsid w:val="00686B17"/>
    <w:rsid w:val="00686E4E"/>
    <w:rsid w:val="00687D74"/>
    <w:rsid w:val="00687E0A"/>
    <w:rsid w:val="00691830"/>
    <w:rsid w:val="006919AC"/>
    <w:rsid w:val="00691F77"/>
    <w:rsid w:val="00692B06"/>
    <w:rsid w:val="00694A47"/>
    <w:rsid w:val="00694F7C"/>
    <w:rsid w:val="00695289"/>
    <w:rsid w:val="00695570"/>
    <w:rsid w:val="00695DB3"/>
    <w:rsid w:val="00696229"/>
    <w:rsid w:val="00696B57"/>
    <w:rsid w:val="00696E94"/>
    <w:rsid w:val="00696EB6"/>
    <w:rsid w:val="00697CB7"/>
    <w:rsid w:val="00697EDA"/>
    <w:rsid w:val="006A0CAB"/>
    <w:rsid w:val="006A12AA"/>
    <w:rsid w:val="006A1465"/>
    <w:rsid w:val="006A330B"/>
    <w:rsid w:val="006A399E"/>
    <w:rsid w:val="006A434C"/>
    <w:rsid w:val="006A55B1"/>
    <w:rsid w:val="006A597B"/>
    <w:rsid w:val="006A6625"/>
    <w:rsid w:val="006A6839"/>
    <w:rsid w:val="006A6BF6"/>
    <w:rsid w:val="006A721D"/>
    <w:rsid w:val="006A72D5"/>
    <w:rsid w:val="006A7492"/>
    <w:rsid w:val="006A7ADF"/>
    <w:rsid w:val="006B0278"/>
    <w:rsid w:val="006B02BA"/>
    <w:rsid w:val="006B117E"/>
    <w:rsid w:val="006B23BD"/>
    <w:rsid w:val="006B27D9"/>
    <w:rsid w:val="006B2EB2"/>
    <w:rsid w:val="006B3F29"/>
    <w:rsid w:val="006B4325"/>
    <w:rsid w:val="006B46CC"/>
    <w:rsid w:val="006B48B6"/>
    <w:rsid w:val="006B54D7"/>
    <w:rsid w:val="006B5501"/>
    <w:rsid w:val="006B6232"/>
    <w:rsid w:val="006B63DB"/>
    <w:rsid w:val="006B6790"/>
    <w:rsid w:val="006B7BF6"/>
    <w:rsid w:val="006B7DCA"/>
    <w:rsid w:val="006C0404"/>
    <w:rsid w:val="006C0A2F"/>
    <w:rsid w:val="006C0CE4"/>
    <w:rsid w:val="006C165C"/>
    <w:rsid w:val="006C1C41"/>
    <w:rsid w:val="006C35AF"/>
    <w:rsid w:val="006C3B3A"/>
    <w:rsid w:val="006C455E"/>
    <w:rsid w:val="006C4AFD"/>
    <w:rsid w:val="006C4B6F"/>
    <w:rsid w:val="006C4D54"/>
    <w:rsid w:val="006C557C"/>
    <w:rsid w:val="006C55E5"/>
    <w:rsid w:val="006C5A96"/>
    <w:rsid w:val="006C602D"/>
    <w:rsid w:val="006C6520"/>
    <w:rsid w:val="006C6E18"/>
    <w:rsid w:val="006C709D"/>
    <w:rsid w:val="006C7609"/>
    <w:rsid w:val="006D1513"/>
    <w:rsid w:val="006D173D"/>
    <w:rsid w:val="006D1985"/>
    <w:rsid w:val="006D199E"/>
    <w:rsid w:val="006D1C52"/>
    <w:rsid w:val="006D229D"/>
    <w:rsid w:val="006D26D8"/>
    <w:rsid w:val="006D2F88"/>
    <w:rsid w:val="006D329D"/>
    <w:rsid w:val="006D3672"/>
    <w:rsid w:val="006D3A8A"/>
    <w:rsid w:val="006D4009"/>
    <w:rsid w:val="006D5366"/>
    <w:rsid w:val="006D556B"/>
    <w:rsid w:val="006D58C6"/>
    <w:rsid w:val="006D59F3"/>
    <w:rsid w:val="006D5D6C"/>
    <w:rsid w:val="006D6892"/>
    <w:rsid w:val="006D6D72"/>
    <w:rsid w:val="006D7AF1"/>
    <w:rsid w:val="006E102F"/>
    <w:rsid w:val="006E1033"/>
    <w:rsid w:val="006E157F"/>
    <w:rsid w:val="006E176F"/>
    <w:rsid w:val="006E2276"/>
    <w:rsid w:val="006E3902"/>
    <w:rsid w:val="006E4FED"/>
    <w:rsid w:val="006E5112"/>
    <w:rsid w:val="006E5539"/>
    <w:rsid w:val="006E5FDB"/>
    <w:rsid w:val="006E648D"/>
    <w:rsid w:val="006E6914"/>
    <w:rsid w:val="006E70F3"/>
    <w:rsid w:val="006E7981"/>
    <w:rsid w:val="006F001D"/>
    <w:rsid w:val="006F125F"/>
    <w:rsid w:val="006F142F"/>
    <w:rsid w:val="006F15E0"/>
    <w:rsid w:val="006F18E6"/>
    <w:rsid w:val="006F1A6C"/>
    <w:rsid w:val="006F1F17"/>
    <w:rsid w:val="006F20D2"/>
    <w:rsid w:val="006F2225"/>
    <w:rsid w:val="006F3DC8"/>
    <w:rsid w:val="006F489B"/>
    <w:rsid w:val="006F4C8C"/>
    <w:rsid w:val="006F51EC"/>
    <w:rsid w:val="006F55F4"/>
    <w:rsid w:val="006F57C2"/>
    <w:rsid w:val="006F5D0F"/>
    <w:rsid w:val="006F5E43"/>
    <w:rsid w:val="006F6FDF"/>
    <w:rsid w:val="006F784D"/>
    <w:rsid w:val="0070028C"/>
    <w:rsid w:val="007022EF"/>
    <w:rsid w:val="00702615"/>
    <w:rsid w:val="00702B32"/>
    <w:rsid w:val="007031E3"/>
    <w:rsid w:val="0070368B"/>
    <w:rsid w:val="00703E00"/>
    <w:rsid w:val="00704369"/>
    <w:rsid w:val="00704B9E"/>
    <w:rsid w:val="00705364"/>
    <w:rsid w:val="0070543E"/>
    <w:rsid w:val="00705F22"/>
    <w:rsid w:val="00706098"/>
    <w:rsid w:val="00706595"/>
    <w:rsid w:val="007070B6"/>
    <w:rsid w:val="007073DB"/>
    <w:rsid w:val="00707E62"/>
    <w:rsid w:val="00707ECD"/>
    <w:rsid w:val="00710929"/>
    <w:rsid w:val="007117D4"/>
    <w:rsid w:val="00711B55"/>
    <w:rsid w:val="00712327"/>
    <w:rsid w:val="007123BF"/>
    <w:rsid w:val="00712686"/>
    <w:rsid w:val="00712AC6"/>
    <w:rsid w:val="0071328A"/>
    <w:rsid w:val="00713563"/>
    <w:rsid w:val="0071356F"/>
    <w:rsid w:val="00713C74"/>
    <w:rsid w:val="00713F4E"/>
    <w:rsid w:val="007141D1"/>
    <w:rsid w:val="0071494C"/>
    <w:rsid w:val="00715701"/>
    <w:rsid w:val="007164C2"/>
    <w:rsid w:val="007166A2"/>
    <w:rsid w:val="007167B4"/>
    <w:rsid w:val="00716F62"/>
    <w:rsid w:val="00717797"/>
    <w:rsid w:val="007177E6"/>
    <w:rsid w:val="00720AC3"/>
    <w:rsid w:val="00721054"/>
    <w:rsid w:val="0072189A"/>
    <w:rsid w:val="00721959"/>
    <w:rsid w:val="00722171"/>
    <w:rsid w:val="007226C3"/>
    <w:rsid w:val="00722A89"/>
    <w:rsid w:val="00723B86"/>
    <w:rsid w:val="00723E0F"/>
    <w:rsid w:val="00724819"/>
    <w:rsid w:val="007254D3"/>
    <w:rsid w:val="00725CE4"/>
    <w:rsid w:val="00726F27"/>
    <w:rsid w:val="00726FD3"/>
    <w:rsid w:val="007304C1"/>
    <w:rsid w:val="00730E4C"/>
    <w:rsid w:val="00730F64"/>
    <w:rsid w:val="00731FB2"/>
    <w:rsid w:val="007330C6"/>
    <w:rsid w:val="00733363"/>
    <w:rsid w:val="0073339F"/>
    <w:rsid w:val="00733BFC"/>
    <w:rsid w:val="00733BFF"/>
    <w:rsid w:val="00733E2D"/>
    <w:rsid w:val="007346C4"/>
    <w:rsid w:val="007348FE"/>
    <w:rsid w:val="00735614"/>
    <w:rsid w:val="00735B6D"/>
    <w:rsid w:val="007360A0"/>
    <w:rsid w:val="0073620B"/>
    <w:rsid w:val="007362D4"/>
    <w:rsid w:val="0073664F"/>
    <w:rsid w:val="00736945"/>
    <w:rsid w:val="00736E13"/>
    <w:rsid w:val="00740C99"/>
    <w:rsid w:val="00740D4F"/>
    <w:rsid w:val="00740D6A"/>
    <w:rsid w:val="007414F6"/>
    <w:rsid w:val="00741AFF"/>
    <w:rsid w:val="00741D21"/>
    <w:rsid w:val="00742B6C"/>
    <w:rsid w:val="00742DBF"/>
    <w:rsid w:val="00742FAD"/>
    <w:rsid w:val="00743AB5"/>
    <w:rsid w:val="00743C28"/>
    <w:rsid w:val="00743FAD"/>
    <w:rsid w:val="0074542D"/>
    <w:rsid w:val="007455F6"/>
    <w:rsid w:val="007458C0"/>
    <w:rsid w:val="007464E8"/>
    <w:rsid w:val="00746508"/>
    <w:rsid w:val="00746920"/>
    <w:rsid w:val="00747163"/>
    <w:rsid w:val="00747B44"/>
    <w:rsid w:val="00750E56"/>
    <w:rsid w:val="00751CCC"/>
    <w:rsid w:val="007520AF"/>
    <w:rsid w:val="007520DF"/>
    <w:rsid w:val="00752A0F"/>
    <w:rsid w:val="0075304B"/>
    <w:rsid w:val="00753B92"/>
    <w:rsid w:val="00754A6D"/>
    <w:rsid w:val="00754C40"/>
    <w:rsid w:val="007553C4"/>
    <w:rsid w:val="0075640B"/>
    <w:rsid w:val="007567F3"/>
    <w:rsid w:val="00756CE4"/>
    <w:rsid w:val="007571DA"/>
    <w:rsid w:val="00757433"/>
    <w:rsid w:val="0075799E"/>
    <w:rsid w:val="007608E1"/>
    <w:rsid w:val="00761AA9"/>
    <w:rsid w:val="0076218E"/>
    <w:rsid w:val="0076258E"/>
    <w:rsid w:val="00762619"/>
    <w:rsid w:val="007626D4"/>
    <w:rsid w:val="00762832"/>
    <w:rsid w:val="00762C1E"/>
    <w:rsid w:val="00763046"/>
    <w:rsid w:val="007631B1"/>
    <w:rsid w:val="0076357D"/>
    <w:rsid w:val="00763593"/>
    <w:rsid w:val="00763A2E"/>
    <w:rsid w:val="00763AE3"/>
    <w:rsid w:val="00763CFB"/>
    <w:rsid w:val="007648F3"/>
    <w:rsid w:val="007652E6"/>
    <w:rsid w:val="00765D09"/>
    <w:rsid w:val="00765F3C"/>
    <w:rsid w:val="00765F5A"/>
    <w:rsid w:val="00766685"/>
    <w:rsid w:val="007705F2"/>
    <w:rsid w:val="007709D3"/>
    <w:rsid w:val="00770AB8"/>
    <w:rsid w:val="00770EA2"/>
    <w:rsid w:val="00771513"/>
    <w:rsid w:val="00771F12"/>
    <w:rsid w:val="0077231D"/>
    <w:rsid w:val="007726EE"/>
    <w:rsid w:val="00773079"/>
    <w:rsid w:val="00773BE4"/>
    <w:rsid w:val="00773C77"/>
    <w:rsid w:val="00773E33"/>
    <w:rsid w:val="00773E45"/>
    <w:rsid w:val="0077567B"/>
    <w:rsid w:val="007758F9"/>
    <w:rsid w:val="0077632A"/>
    <w:rsid w:val="00776489"/>
    <w:rsid w:val="00776938"/>
    <w:rsid w:val="00776C91"/>
    <w:rsid w:val="00776E82"/>
    <w:rsid w:val="00776FCC"/>
    <w:rsid w:val="0078243B"/>
    <w:rsid w:val="007825A3"/>
    <w:rsid w:val="007828F0"/>
    <w:rsid w:val="0078294A"/>
    <w:rsid w:val="00782D1B"/>
    <w:rsid w:val="007835C3"/>
    <w:rsid w:val="00783C08"/>
    <w:rsid w:val="0078516F"/>
    <w:rsid w:val="007851F6"/>
    <w:rsid w:val="007856E2"/>
    <w:rsid w:val="00785754"/>
    <w:rsid w:val="00786101"/>
    <w:rsid w:val="007863C7"/>
    <w:rsid w:val="0078689D"/>
    <w:rsid w:val="00786E1A"/>
    <w:rsid w:val="00786E61"/>
    <w:rsid w:val="0078748F"/>
    <w:rsid w:val="00787B26"/>
    <w:rsid w:val="00790457"/>
    <w:rsid w:val="007910FA"/>
    <w:rsid w:val="0079139C"/>
    <w:rsid w:val="00791837"/>
    <w:rsid w:val="00791854"/>
    <w:rsid w:val="00791903"/>
    <w:rsid w:val="00791BB5"/>
    <w:rsid w:val="00792D45"/>
    <w:rsid w:val="007939D8"/>
    <w:rsid w:val="00794675"/>
    <w:rsid w:val="007956E0"/>
    <w:rsid w:val="00795DAF"/>
    <w:rsid w:val="0079710F"/>
    <w:rsid w:val="00797147"/>
    <w:rsid w:val="007973B5"/>
    <w:rsid w:val="007974BF"/>
    <w:rsid w:val="00797587"/>
    <w:rsid w:val="007975AA"/>
    <w:rsid w:val="007A027B"/>
    <w:rsid w:val="007A087B"/>
    <w:rsid w:val="007A0AC4"/>
    <w:rsid w:val="007A0B6B"/>
    <w:rsid w:val="007A16BD"/>
    <w:rsid w:val="007A1C36"/>
    <w:rsid w:val="007A1F16"/>
    <w:rsid w:val="007A22A4"/>
    <w:rsid w:val="007A27E4"/>
    <w:rsid w:val="007A3076"/>
    <w:rsid w:val="007A5990"/>
    <w:rsid w:val="007A59A8"/>
    <w:rsid w:val="007A64DA"/>
    <w:rsid w:val="007A64F2"/>
    <w:rsid w:val="007A70F2"/>
    <w:rsid w:val="007A7ABB"/>
    <w:rsid w:val="007A7B1E"/>
    <w:rsid w:val="007A7DFE"/>
    <w:rsid w:val="007B0039"/>
    <w:rsid w:val="007B025D"/>
    <w:rsid w:val="007B088C"/>
    <w:rsid w:val="007B10EA"/>
    <w:rsid w:val="007B10F1"/>
    <w:rsid w:val="007B1ABD"/>
    <w:rsid w:val="007B2046"/>
    <w:rsid w:val="007B20EF"/>
    <w:rsid w:val="007B2244"/>
    <w:rsid w:val="007B2B64"/>
    <w:rsid w:val="007B2DD7"/>
    <w:rsid w:val="007B4FAF"/>
    <w:rsid w:val="007B597B"/>
    <w:rsid w:val="007B5FCF"/>
    <w:rsid w:val="007B64D5"/>
    <w:rsid w:val="007B7809"/>
    <w:rsid w:val="007C0549"/>
    <w:rsid w:val="007C0CE4"/>
    <w:rsid w:val="007C1BBF"/>
    <w:rsid w:val="007C1D20"/>
    <w:rsid w:val="007C1F5E"/>
    <w:rsid w:val="007C28A3"/>
    <w:rsid w:val="007C3E0B"/>
    <w:rsid w:val="007C3FF0"/>
    <w:rsid w:val="007C4AEB"/>
    <w:rsid w:val="007C54F7"/>
    <w:rsid w:val="007C5BB2"/>
    <w:rsid w:val="007C63A7"/>
    <w:rsid w:val="007C64D3"/>
    <w:rsid w:val="007C697C"/>
    <w:rsid w:val="007C6B5A"/>
    <w:rsid w:val="007C7D22"/>
    <w:rsid w:val="007C7DF6"/>
    <w:rsid w:val="007C7F2D"/>
    <w:rsid w:val="007D14D2"/>
    <w:rsid w:val="007D197D"/>
    <w:rsid w:val="007D1C57"/>
    <w:rsid w:val="007D2C68"/>
    <w:rsid w:val="007D3357"/>
    <w:rsid w:val="007D37CD"/>
    <w:rsid w:val="007D4A68"/>
    <w:rsid w:val="007D4E79"/>
    <w:rsid w:val="007D4E80"/>
    <w:rsid w:val="007D5AD0"/>
    <w:rsid w:val="007D5E2B"/>
    <w:rsid w:val="007D5F5C"/>
    <w:rsid w:val="007D66F8"/>
    <w:rsid w:val="007D7BCE"/>
    <w:rsid w:val="007E012D"/>
    <w:rsid w:val="007E0413"/>
    <w:rsid w:val="007E08F6"/>
    <w:rsid w:val="007E0928"/>
    <w:rsid w:val="007E138C"/>
    <w:rsid w:val="007E1843"/>
    <w:rsid w:val="007E1CE5"/>
    <w:rsid w:val="007E1D13"/>
    <w:rsid w:val="007E1D59"/>
    <w:rsid w:val="007E2218"/>
    <w:rsid w:val="007E3921"/>
    <w:rsid w:val="007E3CCE"/>
    <w:rsid w:val="007E424F"/>
    <w:rsid w:val="007E49A4"/>
    <w:rsid w:val="007E527A"/>
    <w:rsid w:val="007E5614"/>
    <w:rsid w:val="007E57F4"/>
    <w:rsid w:val="007E65D9"/>
    <w:rsid w:val="007E6A69"/>
    <w:rsid w:val="007E7156"/>
    <w:rsid w:val="007F08F6"/>
    <w:rsid w:val="007F1221"/>
    <w:rsid w:val="007F1D19"/>
    <w:rsid w:val="007F1FBA"/>
    <w:rsid w:val="007F2AF8"/>
    <w:rsid w:val="007F2E20"/>
    <w:rsid w:val="007F337F"/>
    <w:rsid w:val="007F3878"/>
    <w:rsid w:val="007F50D5"/>
    <w:rsid w:val="007F5327"/>
    <w:rsid w:val="007F585A"/>
    <w:rsid w:val="007F62F4"/>
    <w:rsid w:val="007F68AD"/>
    <w:rsid w:val="007F696D"/>
    <w:rsid w:val="007F74BA"/>
    <w:rsid w:val="007F7898"/>
    <w:rsid w:val="007F7C4F"/>
    <w:rsid w:val="00800DDF"/>
    <w:rsid w:val="00801370"/>
    <w:rsid w:val="00801F8E"/>
    <w:rsid w:val="008025A4"/>
    <w:rsid w:val="008027D3"/>
    <w:rsid w:val="0080395B"/>
    <w:rsid w:val="008039FA"/>
    <w:rsid w:val="008051A3"/>
    <w:rsid w:val="008052EC"/>
    <w:rsid w:val="0080560B"/>
    <w:rsid w:val="00805AB3"/>
    <w:rsid w:val="00805EFC"/>
    <w:rsid w:val="008063B6"/>
    <w:rsid w:val="00807851"/>
    <w:rsid w:val="00810206"/>
    <w:rsid w:val="0081032B"/>
    <w:rsid w:val="00811089"/>
    <w:rsid w:val="0081146A"/>
    <w:rsid w:val="0081199A"/>
    <w:rsid w:val="00811B0C"/>
    <w:rsid w:val="00811E58"/>
    <w:rsid w:val="008120BF"/>
    <w:rsid w:val="00812CEB"/>
    <w:rsid w:val="00812D44"/>
    <w:rsid w:val="008132FD"/>
    <w:rsid w:val="008132FE"/>
    <w:rsid w:val="00814F01"/>
    <w:rsid w:val="0081596C"/>
    <w:rsid w:val="00816665"/>
    <w:rsid w:val="00816EF6"/>
    <w:rsid w:val="00820D15"/>
    <w:rsid w:val="008212D6"/>
    <w:rsid w:val="0082147F"/>
    <w:rsid w:val="00821807"/>
    <w:rsid w:val="00822713"/>
    <w:rsid w:val="00822E0A"/>
    <w:rsid w:val="00822E75"/>
    <w:rsid w:val="00823291"/>
    <w:rsid w:val="00823426"/>
    <w:rsid w:val="008236FB"/>
    <w:rsid w:val="00823E9F"/>
    <w:rsid w:val="00824027"/>
    <w:rsid w:val="008248BC"/>
    <w:rsid w:val="00824E15"/>
    <w:rsid w:val="0083039F"/>
    <w:rsid w:val="00830754"/>
    <w:rsid w:val="008310AD"/>
    <w:rsid w:val="008315DB"/>
    <w:rsid w:val="00831BD8"/>
    <w:rsid w:val="00831FF5"/>
    <w:rsid w:val="00832790"/>
    <w:rsid w:val="008327C1"/>
    <w:rsid w:val="00833183"/>
    <w:rsid w:val="00833587"/>
    <w:rsid w:val="00833A28"/>
    <w:rsid w:val="00834045"/>
    <w:rsid w:val="00834468"/>
    <w:rsid w:val="008344B0"/>
    <w:rsid w:val="00834A86"/>
    <w:rsid w:val="00834D4C"/>
    <w:rsid w:val="008351BB"/>
    <w:rsid w:val="0083558F"/>
    <w:rsid w:val="00835CDD"/>
    <w:rsid w:val="00836617"/>
    <w:rsid w:val="00836755"/>
    <w:rsid w:val="008379E2"/>
    <w:rsid w:val="00837B70"/>
    <w:rsid w:val="00837C0F"/>
    <w:rsid w:val="00837CD0"/>
    <w:rsid w:val="00840DBA"/>
    <w:rsid w:val="00842A97"/>
    <w:rsid w:val="008432D8"/>
    <w:rsid w:val="00843481"/>
    <w:rsid w:val="00843C3D"/>
    <w:rsid w:val="00843D87"/>
    <w:rsid w:val="008456EE"/>
    <w:rsid w:val="00846120"/>
    <w:rsid w:val="00846125"/>
    <w:rsid w:val="008461DC"/>
    <w:rsid w:val="00846CE4"/>
    <w:rsid w:val="0084715B"/>
    <w:rsid w:val="00847A62"/>
    <w:rsid w:val="0085000D"/>
    <w:rsid w:val="0085030B"/>
    <w:rsid w:val="00850376"/>
    <w:rsid w:val="008503F1"/>
    <w:rsid w:val="00850A61"/>
    <w:rsid w:val="00850EA6"/>
    <w:rsid w:val="00851763"/>
    <w:rsid w:val="00851A2F"/>
    <w:rsid w:val="00851DFA"/>
    <w:rsid w:val="0085273B"/>
    <w:rsid w:val="00852BE8"/>
    <w:rsid w:val="00854FDD"/>
    <w:rsid w:val="00855413"/>
    <w:rsid w:val="008556C6"/>
    <w:rsid w:val="00855B4C"/>
    <w:rsid w:val="00855DFD"/>
    <w:rsid w:val="008564A4"/>
    <w:rsid w:val="0085775F"/>
    <w:rsid w:val="0085780F"/>
    <w:rsid w:val="00860150"/>
    <w:rsid w:val="008605D7"/>
    <w:rsid w:val="00861472"/>
    <w:rsid w:val="0086170E"/>
    <w:rsid w:val="00861962"/>
    <w:rsid w:val="00861AE1"/>
    <w:rsid w:val="00862393"/>
    <w:rsid w:val="008625F4"/>
    <w:rsid w:val="0086260C"/>
    <w:rsid w:val="00862744"/>
    <w:rsid w:val="008630BA"/>
    <w:rsid w:val="0086358D"/>
    <w:rsid w:val="00863608"/>
    <w:rsid w:val="0086371F"/>
    <w:rsid w:val="008638C4"/>
    <w:rsid w:val="00863AD0"/>
    <w:rsid w:val="00863E37"/>
    <w:rsid w:val="0086474A"/>
    <w:rsid w:val="00864EDA"/>
    <w:rsid w:val="0086555B"/>
    <w:rsid w:val="00865D99"/>
    <w:rsid w:val="00866385"/>
    <w:rsid w:val="0086742B"/>
    <w:rsid w:val="008677AF"/>
    <w:rsid w:val="00870992"/>
    <w:rsid w:val="00870EBA"/>
    <w:rsid w:val="00871F98"/>
    <w:rsid w:val="008724DC"/>
    <w:rsid w:val="00873970"/>
    <w:rsid w:val="00873ED7"/>
    <w:rsid w:val="00874080"/>
    <w:rsid w:val="008740F9"/>
    <w:rsid w:val="008746EE"/>
    <w:rsid w:val="0087482B"/>
    <w:rsid w:val="00874F69"/>
    <w:rsid w:val="00874FEE"/>
    <w:rsid w:val="00875364"/>
    <w:rsid w:val="00875F6E"/>
    <w:rsid w:val="00876A11"/>
    <w:rsid w:val="00876C88"/>
    <w:rsid w:val="00876CF0"/>
    <w:rsid w:val="008772A2"/>
    <w:rsid w:val="00877370"/>
    <w:rsid w:val="008775EE"/>
    <w:rsid w:val="00877A3F"/>
    <w:rsid w:val="008811A3"/>
    <w:rsid w:val="0088129C"/>
    <w:rsid w:val="00881763"/>
    <w:rsid w:val="00881AAD"/>
    <w:rsid w:val="008821C6"/>
    <w:rsid w:val="0088228B"/>
    <w:rsid w:val="00882D6B"/>
    <w:rsid w:val="00882F8E"/>
    <w:rsid w:val="00883098"/>
    <w:rsid w:val="0088384D"/>
    <w:rsid w:val="00883DF1"/>
    <w:rsid w:val="00884E57"/>
    <w:rsid w:val="00884FC7"/>
    <w:rsid w:val="0088506E"/>
    <w:rsid w:val="00886739"/>
    <w:rsid w:val="00886832"/>
    <w:rsid w:val="008877E6"/>
    <w:rsid w:val="008879BB"/>
    <w:rsid w:val="0089019A"/>
    <w:rsid w:val="0089035A"/>
    <w:rsid w:val="00890F67"/>
    <w:rsid w:val="008913B6"/>
    <w:rsid w:val="00891E2D"/>
    <w:rsid w:val="00892656"/>
    <w:rsid w:val="00892DAC"/>
    <w:rsid w:val="00892F4C"/>
    <w:rsid w:val="00892F64"/>
    <w:rsid w:val="0089330B"/>
    <w:rsid w:val="008937D0"/>
    <w:rsid w:val="00893AA2"/>
    <w:rsid w:val="00893DCF"/>
    <w:rsid w:val="0089403B"/>
    <w:rsid w:val="0089438C"/>
    <w:rsid w:val="0089450A"/>
    <w:rsid w:val="00894DC0"/>
    <w:rsid w:val="00894DDC"/>
    <w:rsid w:val="008955F1"/>
    <w:rsid w:val="00896123"/>
    <w:rsid w:val="00896F90"/>
    <w:rsid w:val="00897261"/>
    <w:rsid w:val="0089749E"/>
    <w:rsid w:val="0089773A"/>
    <w:rsid w:val="00897A1C"/>
    <w:rsid w:val="008A04A0"/>
    <w:rsid w:val="008A1FD8"/>
    <w:rsid w:val="008A2B9B"/>
    <w:rsid w:val="008A332A"/>
    <w:rsid w:val="008A379D"/>
    <w:rsid w:val="008A394C"/>
    <w:rsid w:val="008A41F5"/>
    <w:rsid w:val="008A4827"/>
    <w:rsid w:val="008A4C9C"/>
    <w:rsid w:val="008A4DA1"/>
    <w:rsid w:val="008A5A08"/>
    <w:rsid w:val="008A5DF6"/>
    <w:rsid w:val="008A6384"/>
    <w:rsid w:val="008A670E"/>
    <w:rsid w:val="008B09F3"/>
    <w:rsid w:val="008B13D7"/>
    <w:rsid w:val="008B1743"/>
    <w:rsid w:val="008B1D47"/>
    <w:rsid w:val="008B2757"/>
    <w:rsid w:val="008B4456"/>
    <w:rsid w:val="008B4C87"/>
    <w:rsid w:val="008B5496"/>
    <w:rsid w:val="008B5664"/>
    <w:rsid w:val="008B6D81"/>
    <w:rsid w:val="008B6E03"/>
    <w:rsid w:val="008B7497"/>
    <w:rsid w:val="008B74FB"/>
    <w:rsid w:val="008B7693"/>
    <w:rsid w:val="008B76CE"/>
    <w:rsid w:val="008B7CD6"/>
    <w:rsid w:val="008C00D0"/>
    <w:rsid w:val="008C018B"/>
    <w:rsid w:val="008C1800"/>
    <w:rsid w:val="008C205B"/>
    <w:rsid w:val="008C29A7"/>
    <w:rsid w:val="008C3AA1"/>
    <w:rsid w:val="008C423C"/>
    <w:rsid w:val="008C44AB"/>
    <w:rsid w:val="008C462B"/>
    <w:rsid w:val="008C4EC5"/>
    <w:rsid w:val="008C4FFD"/>
    <w:rsid w:val="008C5188"/>
    <w:rsid w:val="008C7150"/>
    <w:rsid w:val="008C7710"/>
    <w:rsid w:val="008C78ED"/>
    <w:rsid w:val="008C7E6C"/>
    <w:rsid w:val="008D0D29"/>
    <w:rsid w:val="008D0F43"/>
    <w:rsid w:val="008D2248"/>
    <w:rsid w:val="008D244C"/>
    <w:rsid w:val="008D27D8"/>
    <w:rsid w:val="008D2D0E"/>
    <w:rsid w:val="008D3A77"/>
    <w:rsid w:val="008D3D33"/>
    <w:rsid w:val="008D435E"/>
    <w:rsid w:val="008D438C"/>
    <w:rsid w:val="008D4707"/>
    <w:rsid w:val="008D52C3"/>
    <w:rsid w:val="008D6AB7"/>
    <w:rsid w:val="008D7074"/>
    <w:rsid w:val="008D7362"/>
    <w:rsid w:val="008D7386"/>
    <w:rsid w:val="008D7E6E"/>
    <w:rsid w:val="008E0740"/>
    <w:rsid w:val="008E08AD"/>
    <w:rsid w:val="008E1481"/>
    <w:rsid w:val="008E1974"/>
    <w:rsid w:val="008E2133"/>
    <w:rsid w:val="008E22E3"/>
    <w:rsid w:val="008E254B"/>
    <w:rsid w:val="008E2C87"/>
    <w:rsid w:val="008E3DA8"/>
    <w:rsid w:val="008E433C"/>
    <w:rsid w:val="008E4806"/>
    <w:rsid w:val="008E515A"/>
    <w:rsid w:val="008E59C2"/>
    <w:rsid w:val="008E5E07"/>
    <w:rsid w:val="008E61F9"/>
    <w:rsid w:val="008E6888"/>
    <w:rsid w:val="008E6CE0"/>
    <w:rsid w:val="008E6F86"/>
    <w:rsid w:val="008E7122"/>
    <w:rsid w:val="008E7330"/>
    <w:rsid w:val="008E7BCB"/>
    <w:rsid w:val="008F0247"/>
    <w:rsid w:val="008F04B6"/>
    <w:rsid w:val="008F095C"/>
    <w:rsid w:val="008F0B52"/>
    <w:rsid w:val="008F12E8"/>
    <w:rsid w:val="008F1451"/>
    <w:rsid w:val="008F19BD"/>
    <w:rsid w:val="008F1ABC"/>
    <w:rsid w:val="008F1D73"/>
    <w:rsid w:val="008F1E2D"/>
    <w:rsid w:val="008F25A2"/>
    <w:rsid w:val="008F2B80"/>
    <w:rsid w:val="008F2FCF"/>
    <w:rsid w:val="008F3861"/>
    <w:rsid w:val="008F3930"/>
    <w:rsid w:val="008F4139"/>
    <w:rsid w:val="008F4F85"/>
    <w:rsid w:val="008F5118"/>
    <w:rsid w:val="008F5EA7"/>
    <w:rsid w:val="008F662F"/>
    <w:rsid w:val="008F6A45"/>
    <w:rsid w:val="008F726E"/>
    <w:rsid w:val="008F76B6"/>
    <w:rsid w:val="008F7D29"/>
    <w:rsid w:val="00900438"/>
    <w:rsid w:val="009006D2"/>
    <w:rsid w:val="009007AF"/>
    <w:rsid w:val="00900DCA"/>
    <w:rsid w:val="009012F2"/>
    <w:rsid w:val="0090153E"/>
    <w:rsid w:val="00901980"/>
    <w:rsid w:val="00901DF0"/>
    <w:rsid w:val="009022CD"/>
    <w:rsid w:val="00902753"/>
    <w:rsid w:val="00902C40"/>
    <w:rsid w:val="009034DC"/>
    <w:rsid w:val="009036F3"/>
    <w:rsid w:val="00903B86"/>
    <w:rsid w:val="00903D9E"/>
    <w:rsid w:val="00904171"/>
    <w:rsid w:val="0090448C"/>
    <w:rsid w:val="009057D5"/>
    <w:rsid w:val="009070B8"/>
    <w:rsid w:val="00907748"/>
    <w:rsid w:val="00910944"/>
    <w:rsid w:val="00911877"/>
    <w:rsid w:val="0091257B"/>
    <w:rsid w:val="0091275A"/>
    <w:rsid w:val="009147DC"/>
    <w:rsid w:val="00914D68"/>
    <w:rsid w:val="00914F84"/>
    <w:rsid w:val="00915931"/>
    <w:rsid w:val="00915F4F"/>
    <w:rsid w:val="00915F72"/>
    <w:rsid w:val="00916095"/>
    <w:rsid w:val="0091616C"/>
    <w:rsid w:val="009164E0"/>
    <w:rsid w:val="00917D76"/>
    <w:rsid w:val="00917DB7"/>
    <w:rsid w:val="00917E6F"/>
    <w:rsid w:val="0092201F"/>
    <w:rsid w:val="0092249C"/>
    <w:rsid w:val="009233DF"/>
    <w:rsid w:val="00923AB9"/>
    <w:rsid w:val="009240DC"/>
    <w:rsid w:val="009243F6"/>
    <w:rsid w:val="009244AF"/>
    <w:rsid w:val="00924B68"/>
    <w:rsid w:val="00924C06"/>
    <w:rsid w:val="00925257"/>
    <w:rsid w:val="00925312"/>
    <w:rsid w:val="0092557A"/>
    <w:rsid w:val="009256A2"/>
    <w:rsid w:val="0092582C"/>
    <w:rsid w:val="00925DFB"/>
    <w:rsid w:val="00926678"/>
    <w:rsid w:val="009268F3"/>
    <w:rsid w:val="00927BC7"/>
    <w:rsid w:val="0093078C"/>
    <w:rsid w:val="00930B4F"/>
    <w:rsid w:val="00930C0D"/>
    <w:rsid w:val="00931043"/>
    <w:rsid w:val="0093129B"/>
    <w:rsid w:val="00931379"/>
    <w:rsid w:val="0093159E"/>
    <w:rsid w:val="00931A76"/>
    <w:rsid w:val="00931CCA"/>
    <w:rsid w:val="0093220A"/>
    <w:rsid w:val="00932E1C"/>
    <w:rsid w:val="00933FBF"/>
    <w:rsid w:val="0093458F"/>
    <w:rsid w:val="00934C9F"/>
    <w:rsid w:val="00934F0E"/>
    <w:rsid w:val="00935014"/>
    <w:rsid w:val="0093519A"/>
    <w:rsid w:val="00935999"/>
    <w:rsid w:val="009361C1"/>
    <w:rsid w:val="00936E1B"/>
    <w:rsid w:val="00936F38"/>
    <w:rsid w:val="00937461"/>
    <w:rsid w:val="00940477"/>
    <w:rsid w:val="00940574"/>
    <w:rsid w:val="009406C3"/>
    <w:rsid w:val="0094070D"/>
    <w:rsid w:val="00941524"/>
    <w:rsid w:val="00941AAD"/>
    <w:rsid w:val="0094214D"/>
    <w:rsid w:val="0094287A"/>
    <w:rsid w:val="00943B90"/>
    <w:rsid w:val="00944E24"/>
    <w:rsid w:val="00945011"/>
    <w:rsid w:val="00945389"/>
    <w:rsid w:val="00945540"/>
    <w:rsid w:val="009455C4"/>
    <w:rsid w:val="00946358"/>
    <w:rsid w:val="009467A3"/>
    <w:rsid w:val="009467C0"/>
    <w:rsid w:val="00946843"/>
    <w:rsid w:val="00946B11"/>
    <w:rsid w:val="00946F47"/>
    <w:rsid w:val="00947643"/>
    <w:rsid w:val="00947C47"/>
    <w:rsid w:val="00950054"/>
    <w:rsid w:val="00950A3C"/>
    <w:rsid w:val="00951DD2"/>
    <w:rsid w:val="00952460"/>
    <w:rsid w:val="0095251A"/>
    <w:rsid w:val="009525AF"/>
    <w:rsid w:val="009527D3"/>
    <w:rsid w:val="009528FF"/>
    <w:rsid w:val="00954193"/>
    <w:rsid w:val="00954BCF"/>
    <w:rsid w:val="00955870"/>
    <w:rsid w:val="00956D44"/>
    <w:rsid w:val="00956D57"/>
    <w:rsid w:val="00957260"/>
    <w:rsid w:val="00960031"/>
    <w:rsid w:val="00960229"/>
    <w:rsid w:val="009606A6"/>
    <w:rsid w:val="00960B7A"/>
    <w:rsid w:val="00961244"/>
    <w:rsid w:val="009613B3"/>
    <w:rsid w:val="0096198F"/>
    <w:rsid w:val="0096211D"/>
    <w:rsid w:val="00963628"/>
    <w:rsid w:val="00964176"/>
    <w:rsid w:val="009652F3"/>
    <w:rsid w:val="00965717"/>
    <w:rsid w:val="00965F51"/>
    <w:rsid w:val="00966F43"/>
    <w:rsid w:val="0097058C"/>
    <w:rsid w:val="00970BF5"/>
    <w:rsid w:val="00971138"/>
    <w:rsid w:val="00971401"/>
    <w:rsid w:val="0097146A"/>
    <w:rsid w:val="00971AAA"/>
    <w:rsid w:val="009724D3"/>
    <w:rsid w:val="0097283D"/>
    <w:rsid w:val="00972B11"/>
    <w:rsid w:val="00972D73"/>
    <w:rsid w:val="00973502"/>
    <w:rsid w:val="00973D33"/>
    <w:rsid w:val="00973DC7"/>
    <w:rsid w:val="00973E0C"/>
    <w:rsid w:val="00973EA1"/>
    <w:rsid w:val="0097486B"/>
    <w:rsid w:val="0097486D"/>
    <w:rsid w:val="00974A69"/>
    <w:rsid w:val="0097581C"/>
    <w:rsid w:val="0097622B"/>
    <w:rsid w:val="0097779F"/>
    <w:rsid w:val="00977D7A"/>
    <w:rsid w:val="00977FDA"/>
    <w:rsid w:val="0098136B"/>
    <w:rsid w:val="00981494"/>
    <w:rsid w:val="009815DE"/>
    <w:rsid w:val="0098164B"/>
    <w:rsid w:val="0098297E"/>
    <w:rsid w:val="00982D4A"/>
    <w:rsid w:val="00983071"/>
    <w:rsid w:val="009830C2"/>
    <w:rsid w:val="00983646"/>
    <w:rsid w:val="00985278"/>
    <w:rsid w:val="0098610D"/>
    <w:rsid w:val="00986829"/>
    <w:rsid w:val="00986F7D"/>
    <w:rsid w:val="00987076"/>
    <w:rsid w:val="00987225"/>
    <w:rsid w:val="009873E1"/>
    <w:rsid w:val="0098747D"/>
    <w:rsid w:val="00987DEA"/>
    <w:rsid w:val="0099061A"/>
    <w:rsid w:val="00990CD4"/>
    <w:rsid w:val="00990EF6"/>
    <w:rsid w:val="0099126E"/>
    <w:rsid w:val="00991FDF"/>
    <w:rsid w:val="0099257F"/>
    <w:rsid w:val="00992900"/>
    <w:rsid w:val="00993881"/>
    <w:rsid w:val="00994076"/>
    <w:rsid w:val="0099473B"/>
    <w:rsid w:val="00994759"/>
    <w:rsid w:val="009951FF"/>
    <w:rsid w:val="0099595B"/>
    <w:rsid w:val="00995F60"/>
    <w:rsid w:val="009962BE"/>
    <w:rsid w:val="0099739B"/>
    <w:rsid w:val="009973E6"/>
    <w:rsid w:val="00997AEA"/>
    <w:rsid w:val="00997E7B"/>
    <w:rsid w:val="00997E82"/>
    <w:rsid w:val="009A0234"/>
    <w:rsid w:val="009A0AEE"/>
    <w:rsid w:val="009A0D98"/>
    <w:rsid w:val="009A2331"/>
    <w:rsid w:val="009A3412"/>
    <w:rsid w:val="009A3B3A"/>
    <w:rsid w:val="009A4811"/>
    <w:rsid w:val="009A73B2"/>
    <w:rsid w:val="009A7D7D"/>
    <w:rsid w:val="009B00A5"/>
    <w:rsid w:val="009B07D5"/>
    <w:rsid w:val="009B0DA1"/>
    <w:rsid w:val="009B0E91"/>
    <w:rsid w:val="009B256B"/>
    <w:rsid w:val="009B3745"/>
    <w:rsid w:val="009B37CA"/>
    <w:rsid w:val="009B38F8"/>
    <w:rsid w:val="009B3C37"/>
    <w:rsid w:val="009B4476"/>
    <w:rsid w:val="009B496F"/>
    <w:rsid w:val="009B5C4E"/>
    <w:rsid w:val="009B5DA6"/>
    <w:rsid w:val="009B5FBA"/>
    <w:rsid w:val="009B67EE"/>
    <w:rsid w:val="009B73EA"/>
    <w:rsid w:val="009B7979"/>
    <w:rsid w:val="009C0064"/>
    <w:rsid w:val="009C0207"/>
    <w:rsid w:val="009C0AF3"/>
    <w:rsid w:val="009C0D11"/>
    <w:rsid w:val="009C1B09"/>
    <w:rsid w:val="009C27AB"/>
    <w:rsid w:val="009C2B83"/>
    <w:rsid w:val="009C34B1"/>
    <w:rsid w:val="009C36E5"/>
    <w:rsid w:val="009C4B02"/>
    <w:rsid w:val="009C50BF"/>
    <w:rsid w:val="009C56A8"/>
    <w:rsid w:val="009C6A33"/>
    <w:rsid w:val="009C6A5F"/>
    <w:rsid w:val="009C6FC9"/>
    <w:rsid w:val="009C709E"/>
    <w:rsid w:val="009C7C47"/>
    <w:rsid w:val="009C7D76"/>
    <w:rsid w:val="009C7F40"/>
    <w:rsid w:val="009D01D0"/>
    <w:rsid w:val="009D03BA"/>
    <w:rsid w:val="009D0850"/>
    <w:rsid w:val="009D0955"/>
    <w:rsid w:val="009D173E"/>
    <w:rsid w:val="009D295E"/>
    <w:rsid w:val="009D2AB9"/>
    <w:rsid w:val="009D32B4"/>
    <w:rsid w:val="009D34A8"/>
    <w:rsid w:val="009D34F6"/>
    <w:rsid w:val="009D3706"/>
    <w:rsid w:val="009D3DD6"/>
    <w:rsid w:val="009D46A1"/>
    <w:rsid w:val="009D4AF1"/>
    <w:rsid w:val="009D4C69"/>
    <w:rsid w:val="009D5286"/>
    <w:rsid w:val="009D53ED"/>
    <w:rsid w:val="009D552A"/>
    <w:rsid w:val="009D5FD7"/>
    <w:rsid w:val="009D61F7"/>
    <w:rsid w:val="009D65CA"/>
    <w:rsid w:val="009D6744"/>
    <w:rsid w:val="009D6D8F"/>
    <w:rsid w:val="009D6DCB"/>
    <w:rsid w:val="009D733D"/>
    <w:rsid w:val="009D76BA"/>
    <w:rsid w:val="009D79C5"/>
    <w:rsid w:val="009D7EFA"/>
    <w:rsid w:val="009D7FD0"/>
    <w:rsid w:val="009E067F"/>
    <w:rsid w:val="009E0A68"/>
    <w:rsid w:val="009E0A6F"/>
    <w:rsid w:val="009E0AAC"/>
    <w:rsid w:val="009E2170"/>
    <w:rsid w:val="009E2E0C"/>
    <w:rsid w:val="009E31C0"/>
    <w:rsid w:val="009E340C"/>
    <w:rsid w:val="009E3467"/>
    <w:rsid w:val="009E3FA4"/>
    <w:rsid w:val="009E41FA"/>
    <w:rsid w:val="009E4FAF"/>
    <w:rsid w:val="009E50EA"/>
    <w:rsid w:val="009E595E"/>
    <w:rsid w:val="009E5C82"/>
    <w:rsid w:val="009E60C8"/>
    <w:rsid w:val="009E6375"/>
    <w:rsid w:val="009E666F"/>
    <w:rsid w:val="009E6682"/>
    <w:rsid w:val="009E6746"/>
    <w:rsid w:val="009E68E7"/>
    <w:rsid w:val="009E6A27"/>
    <w:rsid w:val="009E74EA"/>
    <w:rsid w:val="009E7ADD"/>
    <w:rsid w:val="009E7F33"/>
    <w:rsid w:val="009F0E20"/>
    <w:rsid w:val="009F0F6B"/>
    <w:rsid w:val="009F15C6"/>
    <w:rsid w:val="009F15DB"/>
    <w:rsid w:val="009F1F3F"/>
    <w:rsid w:val="009F2132"/>
    <w:rsid w:val="009F2299"/>
    <w:rsid w:val="009F314B"/>
    <w:rsid w:val="009F31FC"/>
    <w:rsid w:val="009F3D99"/>
    <w:rsid w:val="009F425B"/>
    <w:rsid w:val="009F4CCB"/>
    <w:rsid w:val="009F5010"/>
    <w:rsid w:val="009F5BD0"/>
    <w:rsid w:val="009F5FA1"/>
    <w:rsid w:val="009F7391"/>
    <w:rsid w:val="009F768A"/>
    <w:rsid w:val="009F799D"/>
    <w:rsid w:val="009F7C2A"/>
    <w:rsid w:val="00A005BD"/>
    <w:rsid w:val="00A0119D"/>
    <w:rsid w:val="00A01362"/>
    <w:rsid w:val="00A019AF"/>
    <w:rsid w:val="00A01C7F"/>
    <w:rsid w:val="00A02259"/>
    <w:rsid w:val="00A02526"/>
    <w:rsid w:val="00A02863"/>
    <w:rsid w:val="00A02D19"/>
    <w:rsid w:val="00A03623"/>
    <w:rsid w:val="00A0372F"/>
    <w:rsid w:val="00A03872"/>
    <w:rsid w:val="00A03904"/>
    <w:rsid w:val="00A046A5"/>
    <w:rsid w:val="00A049B6"/>
    <w:rsid w:val="00A05184"/>
    <w:rsid w:val="00A0524D"/>
    <w:rsid w:val="00A05349"/>
    <w:rsid w:val="00A0539D"/>
    <w:rsid w:val="00A06590"/>
    <w:rsid w:val="00A065F4"/>
    <w:rsid w:val="00A0680C"/>
    <w:rsid w:val="00A06E0C"/>
    <w:rsid w:val="00A06E8D"/>
    <w:rsid w:val="00A07454"/>
    <w:rsid w:val="00A0776A"/>
    <w:rsid w:val="00A077FA"/>
    <w:rsid w:val="00A07F96"/>
    <w:rsid w:val="00A102D3"/>
    <w:rsid w:val="00A103E5"/>
    <w:rsid w:val="00A105E9"/>
    <w:rsid w:val="00A10978"/>
    <w:rsid w:val="00A10AD0"/>
    <w:rsid w:val="00A11D9D"/>
    <w:rsid w:val="00A120F1"/>
    <w:rsid w:val="00A126EE"/>
    <w:rsid w:val="00A129D4"/>
    <w:rsid w:val="00A12D51"/>
    <w:rsid w:val="00A12E20"/>
    <w:rsid w:val="00A133AA"/>
    <w:rsid w:val="00A1417F"/>
    <w:rsid w:val="00A14363"/>
    <w:rsid w:val="00A1446F"/>
    <w:rsid w:val="00A145C8"/>
    <w:rsid w:val="00A14AAC"/>
    <w:rsid w:val="00A14BDC"/>
    <w:rsid w:val="00A14D8D"/>
    <w:rsid w:val="00A1597E"/>
    <w:rsid w:val="00A15C6A"/>
    <w:rsid w:val="00A15F97"/>
    <w:rsid w:val="00A17006"/>
    <w:rsid w:val="00A2025C"/>
    <w:rsid w:val="00A2080B"/>
    <w:rsid w:val="00A21496"/>
    <w:rsid w:val="00A221D8"/>
    <w:rsid w:val="00A2254B"/>
    <w:rsid w:val="00A2281F"/>
    <w:rsid w:val="00A228F0"/>
    <w:rsid w:val="00A22EED"/>
    <w:rsid w:val="00A23802"/>
    <w:rsid w:val="00A23B91"/>
    <w:rsid w:val="00A23BBF"/>
    <w:rsid w:val="00A24513"/>
    <w:rsid w:val="00A246A8"/>
    <w:rsid w:val="00A24F28"/>
    <w:rsid w:val="00A24F35"/>
    <w:rsid w:val="00A256ED"/>
    <w:rsid w:val="00A25D47"/>
    <w:rsid w:val="00A25FF8"/>
    <w:rsid w:val="00A266DB"/>
    <w:rsid w:val="00A268F1"/>
    <w:rsid w:val="00A271C8"/>
    <w:rsid w:val="00A276E8"/>
    <w:rsid w:val="00A2771C"/>
    <w:rsid w:val="00A27CAE"/>
    <w:rsid w:val="00A30907"/>
    <w:rsid w:val="00A30A84"/>
    <w:rsid w:val="00A315A8"/>
    <w:rsid w:val="00A31F7F"/>
    <w:rsid w:val="00A320AD"/>
    <w:rsid w:val="00A33401"/>
    <w:rsid w:val="00A337EB"/>
    <w:rsid w:val="00A33E48"/>
    <w:rsid w:val="00A34337"/>
    <w:rsid w:val="00A3451A"/>
    <w:rsid w:val="00A346CA"/>
    <w:rsid w:val="00A34ABF"/>
    <w:rsid w:val="00A34DD7"/>
    <w:rsid w:val="00A35F29"/>
    <w:rsid w:val="00A36354"/>
    <w:rsid w:val="00A3688D"/>
    <w:rsid w:val="00A374EC"/>
    <w:rsid w:val="00A3762E"/>
    <w:rsid w:val="00A37688"/>
    <w:rsid w:val="00A4001E"/>
    <w:rsid w:val="00A40221"/>
    <w:rsid w:val="00A402A7"/>
    <w:rsid w:val="00A41159"/>
    <w:rsid w:val="00A412C9"/>
    <w:rsid w:val="00A41657"/>
    <w:rsid w:val="00A4186C"/>
    <w:rsid w:val="00A42024"/>
    <w:rsid w:val="00A42610"/>
    <w:rsid w:val="00A42D97"/>
    <w:rsid w:val="00A437F9"/>
    <w:rsid w:val="00A44913"/>
    <w:rsid w:val="00A450EE"/>
    <w:rsid w:val="00A457CA"/>
    <w:rsid w:val="00A462E8"/>
    <w:rsid w:val="00A463DF"/>
    <w:rsid w:val="00A46A68"/>
    <w:rsid w:val="00A47D05"/>
    <w:rsid w:val="00A5001B"/>
    <w:rsid w:val="00A51141"/>
    <w:rsid w:val="00A51ECC"/>
    <w:rsid w:val="00A52D12"/>
    <w:rsid w:val="00A534AF"/>
    <w:rsid w:val="00A53555"/>
    <w:rsid w:val="00A53D36"/>
    <w:rsid w:val="00A54624"/>
    <w:rsid w:val="00A54829"/>
    <w:rsid w:val="00A566B7"/>
    <w:rsid w:val="00A574A2"/>
    <w:rsid w:val="00A57D0D"/>
    <w:rsid w:val="00A57F55"/>
    <w:rsid w:val="00A60151"/>
    <w:rsid w:val="00A60566"/>
    <w:rsid w:val="00A60AA7"/>
    <w:rsid w:val="00A6143F"/>
    <w:rsid w:val="00A6185A"/>
    <w:rsid w:val="00A618A8"/>
    <w:rsid w:val="00A62939"/>
    <w:rsid w:val="00A63059"/>
    <w:rsid w:val="00A6382A"/>
    <w:rsid w:val="00A63A12"/>
    <w:rsid w:val="00A63EC6"/>
    <w:rsid w:val="00A64C9C"/>
    <w:rsid w:val="00A64D61"/>
    <w:rsid w:val="00A64EE7"/>
    <w:rsid w:val="00A6666E"/>
    <w:rsid w:val="00A67219"/>
    <w:rsid w:val="00A67664"/>
    <w:rsid w:val="00A67912"/>
    <w:rsid w:val="00A67A72"/>
    <w:rsid w:val="00A67C02"/>
    <w:rsid w:val="00A67D17"/>
    <w:rsid w:val="00A70AF3"/>
    <w:rsid w:val="00A70CC8"/>
    <w:rsid w:val="00A710F8"/>
    <w:rsid w:val="00A71520"/>
    <w:rsid w:val="00A71B36"/>
    <w:rsid w:val="00A71B60"/>
    <w:rsid w:val="00A720B0"/>
    <w:rsid w:val="00A72961"/>
    <w:rsid w:val="00A73005"/>
    <w:rsid w:val="00A73529"/>
    <w:rsid w:val="00A7385B"/>
    <w:rsid w:val="00A73B39"/>
    <w:rsid w:val="00A73EE7"/>
    <w:rsid w:val="00A74150"/>
    <w:rsid w:val="00A744E6"/>
    <w:rsid w:val="00A746CD"/>
    <w:rsid w:val="00A74C93"/>
    <w:rsid w:val="00A752EB"/>
    <w:rsid w:val="00A7572A"/>
    <w:rsid w:val="00A76829"/>
    <w:rsid w:val="00A76959"/>
    <w:rsid w:val="00A76A66"/>
    <w:rsid w:val="00A76DD0"/>
    <w:rsid w:val="00A76E82"/>
    <w:rsid w:val="00A77364"/>
    <w:rsid w:val="00A80557"/>
    <w:rsid w:val="00A80B76"/>
    <w:rsid w:val="00A8183F"/>
    <w:rsid w:val="00A8228A"/>
    <w:rsid w:val="00A82B98"/>
    <w:rsid w:val="00A83452"/>
    <w:rsid w:val="00A83862"/>
    <w:rsid w:val="00A83B4A"/>
    <w:rsid w:val="00A83D70"/>
    <w:rsid w:val="00A83E69"/>
    <w:rsid w:val="00A84D78"/>
    <w:rsid w:val="00A85891"/>
    <w:rsid w:val="00A85985"/>
    <w:rsid w:val="00A859F7"/>
    <w:rsid w:val="00A85A38"/>
    <w:rsid w:val="00A85EE7"/>
    <w:rsid w:val="00A85F7A"/>
    <w:rsid w:val="00A86F78"/>
    <w:rsid w:val="00A87327"/>
    <w:rsid w:val="00A87E74"/>
    <w:rsid w:val="00A903E0"/>
    <w:rsid w:val="00A91126"/>
    <w:rsid w:val="00A91316"/>
    <w:rsid w:val="00A928B4"/>
    <w:rsid w:val="00A92BD4"/>
    <w:rsid w:val="00A92C98"/>
    <w:rsid w:val="00A934CA"/>
    <w:rsid w:val="00A93EE1"/>
    <w:rsid w:val="00A940B1"/>
    <w:rsid w:val="00A94BD1"/>
    <w:rsid w:val="00A94FDD"/>
    <w:rsid w:val="00A9513D"/>
    <w:rsid w:val="00A9599E"/>
    <w:rsid w:val="00A95AE7"/>
    <w:rsid w:val="00A96969"/>
    <w:rsid w:val="00A96B69"/>
    <w:rsid w:val="00A96E6A"/>
    <w:rsid w:val="00A96FA4"/>
    <w:rsid w:val="00A978DF"/>
    <w:rsid w:val="00A97B89"/>
    <w:rsid w:val="00AA0B10"/>
    <w:rsid w:val="00AA1652"/>
    <w:rsid w:val="00AA1BBE"/>
    <w:rsid w:val="00AA1BC1"/>
    <w:rsid w:val="00AA2390"/>
    <w:rsid w:val="00AA2488"/>
    <w:rsid w:val="00AA24A7"/>
    <w:rsid w:val="00AA2A76"/>
    <w:rsid w:val="00AA2CE6"/>
    <w:rsid w:val="00AA2D5A"/>
    <w:rsid w:val="00AA2D99"/>
    <w:rsid w:val="00AA35BE"/>
    <w:rsid w:val="00AA3CCD"/>
    <w:rsid w:val="00AA5648"/>
    <w:rsid w:val="00AA6444"/>
    <w:rsid w:val="00AA65F9"/>
    <w:rsid w:val="00AA731E"/>
    <w:rsid w:val="00AA73CC"/>
    <w:rsid w:val="00AA7621"/>
    <w:rsid w:val="00AA7B3D"/>
    <w:rsid w:val="00AA7C9A"/>
    <w:rsid w:val="00AB05AD"/>
    <w:rsid w:val="00AB09AE"/>
    <w:rsid w:val="00AB14D3"/>
    <w:rsid w:val="00AB1561"/>
    <w:rsid w:val="00AB1D9E"/>
    <w:rsid w:val="00AB287B"/>
    <w:rsid w:val="00AB2ADB"/>
    <w:rsid w:val="00AB2F76"/>
    <w:rsid w:val="00AB3008"/>
    <w:rsid w:val="00AB3191"/>
    <w:rsid w:val="00AB335D"/>
    <w:rsid w:val="00AB4CCF"/>
    <w:rsid w:val="00AB5157"/>
    <w:rsid w:val="00AB5544"/>
    <w:rsid w:val="00AB5717"/>
    <w:rsid w:val="00AB58F4"/>
    <w:rsid w:val="00AB6558"/>
    <w:rsid w:val="00AB70C3"/>
    <w:rsid w:val="00AB7864"/>
    <w:rsid w:val="00AB7F3D"/>
    <w:rsid w:val="00AC050E"/>
    <w:rsid w:val="00AC0756"/>
    <w:rsid w:val="00AC12BD"/>
    <w:rsid w:val="00AC141E"/>
    <w:rsid w:val="00AC16FB"/>
    <w:rsid w:val="00AC1AF0"/>
    <w:rsid w:val="00AC1C81"/>
    <w:rsid w:val="00AC206E"/>
    <w:rsid w:val="00AC271D"/>
    <w:rsid w:val="00AC33B8"/>
    <w:rsid w:val="00AC3754"/>
    <w:rsid w:val="00AC43AB"/>
    <w:rsid w:val="00AC4B0A"/>
    <w:rsid w:val="00AC54A3"/>
    <w:rsid w:val="00AC581C"/>
    <w:rsid w:val="00AC5C07"/>
    <w:rsid w:val="00AC62C9"/>
    <w:rsid w:val="00AC6498"/>
    <w:rsid w:val="00AC7A55"/>
    <w:rsid w:val="00AD007E"/>
    <w:rsid w:val="00AD1134"/>
    <w:rsid w:val="00AD12BD"/>
    <w:rsid w:val="00AD15EE"/>
    <w:rsid w:val="00AD161B"/>
    <w:rsid w:val="00AD1EA3"/>
    <w:rsid w:val="00AD1F16"/>
    <w:rsid w:val="00AD2833"/>
    <w:rsid w:val="00AD4030"/>
    <w:rsid w:val="00AD40EA"/>
    <w:rsid w:val="00AD4452"/>
    <w:rsid w:val="00AD53CF"/>
    <w:rsid w:val="00AD59CA"/>
    <w:rsid w:val="00AD5E65"/>
    <w:rsid w:val="00AD638E"/>
    <w:rsid w:val="00AD64FC"/>
    <w:rsid w:val="00AD6740"/>
    <w:rsid w:val="00AD6A81"/>
    <w:rsid w:val="00AD7864"/>
    <w:rsid w:val="00AD7EE5"/>
    <w:rsid w:val="00AE012E"/>
    <w:rsid w:val="00AE01BF"/>
    <w:rsid w:val="00AE01E5"/>
    <w:rsid w:val="00AE0331"/>
    <w:rsid w:val="00AE08AE"/>
    <w:rsid w:val="00AE099A"/>
    <w:rsid w:val="00AE0BEE"/>
    <w:rsid w:val="00AE0C61"/>
    <w:rsid w:val="00AE0DB8"/>
    <w:rsid w:val="00AE107A"/>
    <w:rsid w:val="00AE20A5"/>
    <w:rsid w:val="00AE2FC7"/>
    <w:rsid w:val="00AE3351"/>
    <w:rsid w:val="00AE3982"/>
    <w:rsid w:val="00AE3C04"/>
    <w:rsid w:val="00AE4026"/>
    <w:rsid w:val="00AE5A6D"/>
    <w:rsid w:val="00AE5E1C"/>
    <w:rsid w:val="00AE6798"/>
    <w:rsid w:val="00AE6ACD"/>
    <w:rsid w:val="00AE7A44"/>
    <w:rsid w:val="00AF0093"/>
    <w:rsid w:val="00AF0961"/>
    <w:rsid w:val="00AF0A8B"/>
    <w:rsid w:val="00AF0AE6"/>
    <w:rsid w:val="00AF0B85"/>
    <w:rsid w:val="00AF1150"/>
    <w:rsid w:val="00AF156F"/>
    <w:rsid w:val="00AF168A"/>
    <w:rsid w:val="00AF176B"/>
    <w:rsid w:val="00AF286E"/>
    <w:rsid w:val="00AF312A"/>
    <w:rsid w:val="00AF3B1F"/>
    <w:rsid w:val="00AF3D75"/>
    <w:rsid w:val="00AF3F8E"/>
    <w:rsid w:val="00AF4526"/>
    <w:rsid w:val="00AF474F"/>
    <w:rsid w:val="00AF4B82"/>
    <w:rsid w:val="00AF4F69"/>
    <w:rsid w:val="00AF5350"/>
    <w:rsid w:val="00AF546A"/>
    <w:rsid w:val="00AF5A88"/>
    <w:rsid w:val="00AF7710"/>
    <w:rsid w:val="00AF7927"/>
    <w:rsid w:val="00AF7BF2"/>
    <w:rsid w:val="00AF7C17"/>
    <w:rsid w:val="00B0096A"/>
    <w:rsid w:val="00B0104E"/>
    <w:rsid w:val="00B0243C"/>
    <w:rsid w:val="00B0277C"/>
    <w:rsid w:val="00B02A36"/>
    <w:rsid w:val="00B02F52"/>
    <w:rsid w:val="00B030C7"/>
    <w:rsid w:val="00B0397A"/>
    <w:rsid w:val="00B06BB2"/>
    <w:rsid w:val="00B07124"/>
    <w:rsid w:val="00B07329"/>
    <w:rsid w:val="00B10587"/>
    <w:rsid w:val="00B1088F"/>
    <w:rsid w:val="00B1139B"/>
    <w:rsid w:val="00B11C57"/>
    <w:rsid w:val="00B134E9"/>
    <w:rsid w:val="00B139AD"/>
    <w:rsid w:val="00B14150"/>
    <w:rsid w:val="00B14421"/>
    <w:rsid w:val="00B144B0"/>
    <w:rsid w:val="00B14D4A"/>
    <w:rsid w:val="00B14F25"/>
    <w:rsid w:val="00B152D6"/>
    <w:rsid w:val="00B155EA"/>
    <w:rsid w:val="00B15DB6"/>
    <w:rsid w:val="00B15F19"/>
    <w:rsid w:val="00B171E0"/>
    <w:rsid w:val="00B17345"/>
    <w:rsid w:val="00B174E0"/>
    <w:rsid w:val="00B1792B"/>
    <w:rsid w:val="00B17A3B"/>
    <w:rsid w:val="00B20B87"/>
    <w:rsid w:val="00B2181C"/>
    <w:rsid w:val="00B228E3"/>
    <w:rsid w:val="00B22903"/>
    <w:rsid w:val="00B22E87"/>
    <w:rsid w:val="00B22F0D"/>
    <w:rsid w:val="00B22F51"/>
    <w:rsid w:val="00B232E3"/>
    <w:rsid w:val="00B23396"/>
    <w:rsid w:val="00B2370D"/>
    <w:rsid w:val="00B23A55"/>
    <w:rsid w:val="00B23ECD"/>
    <w:rsid w:val="00B24425"/>
    <w:rsid w:val="00B24613"/>
    <w:rsid w:val="00B24B48"/>
    <w:rsid w:val="00B24FC8"/>
    <w:rsid w:val="00B25343"/>
    <w:rsid w:val="00B25937"/>
    <w:rsid w:val="00B25EDB"/>
    <w:rsid w:val="00B26B84"/>
    <w:rsid w:val="00B27588"/>
    <w:rsid w:val="00B277C3"/>
    <w:rsid w:val="00B30E34"/>
    <w:rsid w:val="00B31670"/>
    <w:rsid w:val="00B31A09"/>
    <w:rsid w:val="00B3286A"/>
    <w:rsid w:val="00B328CA"/>
    <w:rsid w:val="00B32DB0"/>
    <w:rsid w:val="00B32EDC"/>
    <w:rsid w:val="00B33A26"/>
    <w:rsid w:val="00B33A76"/>
    <w:rsid w:val="00B367F6"/>
    <w:rsid w:val="00B36CC3"/>
    <w:rsid w:val="00B37E36"/>
    <w:rsid w:val="00B4034C"/>
    <w:rsid w:val="00B41DED"/>
    <w:rsid w:val="00B42F1D"/>
    <w:rsid w:val="00B43770"/>
    <w:rsid w:val="00B4413D"/>
    <w:rsid w:val="00B44C9A"/>
    <w:rsid w:val="00B44D5A"/>
    <w:rsid w:val="00B4521C"/>
    <w:rsid w:val="00B46522"/>
    <w:rsid w:val="00B466BC"/>
    <w:rsid w:val="00B467F1"/>
    <w:rsid w:val="00B46F7B"/>
    <w:rsid w:val="00B5007B"/>
    <w:rsid w:val="00B500E9"/>
    <w:rsid w:val="00B51320"/>
    <w:rsid w:val="00B51E44"/>
    <w:rsid w:val="00B526E5"/>
    <w:rsid w:val="00B5307C"/>
    <w:rsid w:val="00B535D1"/>
    <w:rsid w:val="00B5449F"/>
    <w:rsid w:val="00B548B1"/>
    <w:rsid w:val="00B54F3A"/>
    <w:rsid w:val="00B55F80"/>
    <w:rsid w:val="00B55FF8"/>
    <w:rsid w:val="00B56A3F"/>
    <w:rsid w:val="00B57012"/>
    <w:rsid w:val="00B572A4"/>
    <w:rsid w:val="00B57B3C"/>
    <w:rsid w:val="00B57EA1"/>
    <w:rsid w:val="00B600AA"/>
    <w:rsid w:val="00B605EF"/>
    <w:rsid w:val="00B606B9"/>
    <w:rsid w:val="00B606C9"/>
    <w:rsid w:val="00B607EF"/>
    <w:rsid w:val="00B60802"/>
    <w:rsid w:val="00B61361"/>
    <w:rsid w:val="00B61D8B"/>
    <w:rsid w:val="00B62E04"/>
    <w:rsid w:val="00B62EDF"/>
    <w:rsid w:val="00B63456"/>
    <w:rsid w:val="00B63D28"/>
    <w:rsid w:val="00B650AC"/>
    <w:rsid w:val="00B65BCE"/>
    <w:rsid w:val="00B65BE6"/>
    <w:rsid w:val="00B66560"/>
    <w:rsid w:val="00B6690F"/>
    <w:rsid w:val="00B66C20"/>
    <w:rsid w:val="00B66E8E"/>
    <w:rsid w:val="00B6709D"/>
    <w:rsid w:val="00B67210"/>
    <w:rsid w:val="00B70A75"/>
    <w:rsid w:val="00B70D08"/>
    <w:rsid w:val="00B7123B"/>
    <w:rsid w:val="00B712A8"/>
    <w:rsid w:val="00B712FC"/>
    <w:rsid w:val="00B7139F"/>
    <w:rsid w:val="00B713B6"/>
    <w:rsid w:val="00B71AD4"/>
    <w:rsid w:val="00B726BA"/>
    <w:rsid w:val="00B72D7A"/>
    <w:rsid w:val="00B74EC6"/>
    <w:rsid w:val="00B75633"/>
    <w:rsid w:val="00B75D68"/>
    <w:rsid w:val="00B75F86"/>
    <w:rsid w:val="00B7715D"/>
    <w:rsid w:val="00B7757B"/>
    <w:rsid w:val="00B80ADA"/>
    <w:rsid w:val="00B81654"/>
    <w:rsid w:val="00B82735"/>
    <w:rsid w:val="00B832F3"/>
    <w:rsid w:val="00B833FF"/>
    <w:rsid w:val="00B834A2"/>
    <w:rsid w:val="00B83525"/>
    <w:rsid w:val="00B83614"/>
    <w:rsid w:val="00B84D9D"/>
    <w:rsid w:val="00B861BD"/>
    <w:rsid w:val="00B86E15"/>
    <w:rsid w:val="00B8779F"/>
    <w:rsid w:val="00B877EC"/>
    <w:rsid w:val="00B9037B"/>
    <w:rsid w:val="00B91248"/>
    <w:rsid w:val="00B91983"/>
    <w:rsid w:val="00B922C3"/>
    <w:rsid w:val="00B923FF"/>
    <w:rsid w:val="00B92AC6"/>
    <w:rsid w:val="00B93340"/>
    <w:rsid w:val="00B93862"/>
    <w:rsid w:val="00B939A8"/>
    <w:rsid w:val="00B939E9"/>
    <w:rsid w:val="00B94602"/>
    <w:rsid w:val="00B94D91"/>
    <w:rsid w:val="00B96BC6"/>
    <w:rsid w:val="00B96C90"/>
    <w:rsid w:val="00B9714E"/>
    <w:rsid w:val="00B9747C"/>
    <w:rsid w:val="00BA11BB"/>
    <w:rsid w:val="00BA1616"/>
    <w:rsid w:val="00BA180E"/>
    <w:rsid w:val="00BA1B31"/>
    <w:rsid w:val="00BA1CF7"/>
    <w:rsid w:val="00BA1D68"/>
    <w:rsid w:val="00BA2674"/>
    <w:rsid w:val="00BA2A48"/>
    <w:rsid w:val="00BA2C4D"/>
    <w:rsid w:val="00BA31C4"/>
    <w:rsid w:val="00BA397B"/>
    <w:rsid w:val="00BA3A05"/>
    <w:rsid w:val="00BA3A16"/>
    <w:rsid w:val="00BA3C60"/>
    <w:rsid w:val="00BA4EDF"/>
    <w:rsid w:val="00BA4FD1"/>
    <w:rsid w:val="00BA5DA8"/>
    <w:rsid w:val="00BA5E07"/>
    <w:rsid w:val="00BA5E1B"/>
    <w:rsid w:val="00BA6485"/>
    <w:rsid w:val="00BA6E4C"/>
    <w:rsid w:val="00BB01FB"/>
    <w:rsid w:val="00BB02E1"/>
    <w:rsid w:val="00BB1EE5"/>
    <w:rsid w:val="00BB22A9"/>
    <w:rsid w:val="00BB30A0"/>
    <w:rsid w:val="00BB3127"/>
    <w:rsid w:val="00BB32E4"/>
    <w:rsid w:val="00BB380C"/>
    <w:rsid w:val="00BB3A44"/>
    <w:rsid w:val="00BB3BD0"/>
    <w:rsid w:val="00BB3DEE"/>
    <w:rsid w:val="00BB4543"/>
    <w:rsid w:val="00BB45B1"/>
    <w:rsid w:val="00BB4880"/>
    <w:rsid w:val="00BB488F"/>
    <w:rsid w:val="00BB4B86"/>
    <w:rsid w:val="00BB4BE7"/>
    <w:rsid w:val="00BB4D40"/>
    <w:rsid w:val="00BB68E3"/>
    <w:rsid w:val="00BB6D44"/>
    <w:rsid w:val="00BB7BA5"/>
    <w:rsid w:val="00BB7F7A"/>
    <w:rsid w:val="00BB7FE0"/>
    <w:rsid w:val="00BC010A"/>
    <w:rsid w:val="00BC0255"/>
    <w:rsid w:val="00BC0CC0"/>
    <w:rsid w:val="00BC17DC"/>
    <w:rsid w:val="00BC2116"/>
    <w:rsid w:val="00BC22ED"/>
    <w:rsid w:val="00BC290C"/>
    <w:rsid w:val="00BC30F3"/>
    <w:rsid w:val="00BC3495"/>
    <w:rsid w:val="00BC3D4D"/>
    <w:rsid w:val="00BC5F95"/>
    <w:rsid w:val="00BC6088"/>
    <w:rsid w:val="00BC62C6"/>
    <w:rsid w:val="00BC6513"/>
    <w:rsid w:val="00BC6590"/>
    <w:rsid w:val="00BC670A"/>
    <w:rsid w:val="00BC68A4"/>
    <w:rsid w:val="00BC69C9"/>
    <w:rsid w:val="00BC73AE"/>
    <w:rsid w:val="00BC7970"/>
    <w:rsid w:val="00BC7D14"/>
    <w:rsid w:val="00BD025B"/>
    <w:rsid w:val="00BD0373"/>
    <w:rsid w:val="00BD0434"/>
    <w:rsid w:val="00BD08FB"/>
    <w:rsid w:val="00BD1282"/>
    <w:rsid w:val="00BD130D"/>
    <w:rsid w:val="00BD137E"/>
    <w:rsid w:val="00BD19EC"/>
    <w:rsid w:val="00BD1C2A"/>
    <w:rsid w:val="00BD1F25"/>
    <w:rsid w:val="00BD2080"/>
    <w:rsid w:val="00BD22E5"/>
    <w:rsid w:val="00BD2B6F"/>
    <w:rsid w:val="00BD433F"/>
    <w:rsid w:val="00BD4389"/>
    <w:rsid w:val="00BD451E"/>
    <w:rsid w:val="00BD55F4"/>
    <w:rsid w:val="00BD59E3"/>
    <w:rsid w:val="00BD63E0"/>
    <w:rsid w:val="00BD6487"/>
    <w:rsid w:val="00BD6BA8"/>
    <w:rsid w:val="00BD6D68"/>
    <w:rsid w:val="00BD6ED3"/>
    <w:rsid w:val="00BD6EDB"/>
    <w:rsid w:val="00BD7AB5"/>
    <w:rsid w:val="00BD7F37"/>
    <w:rsid w:val="00BE0941"/>
    <w:rsid w:val="00BE10E5"/>
    <w:rsid w:val="00BE13DA"/>
    <w:rsid w:val="00BE1BB3"/>
    <w:rsid w:val="00BE1E33"/>
    <w:rsid w:val="00BE2544"/>
    <w:rsid w:val="00BE36B9"/>
    <w:rsid w:val="00BE3CCB"/>
    <w:rsid w:val="00BE4019"/>
    <w:rsid w:val="00BE4E31"/>
    <w:rsid w:val="00BE54B2"/>
    <w:rsid w:val="00BE55E4"/>
    <w:rsid w:val="00BE5602"/>
    <w:rsid w:val="00BE562A"/>
    <w:rsid w:val="00BE5A34"/>
    <w:rsid w:val="00BE5CB3"/>
    <w:rsid w:val="00BE6457"/>
    <w:rsid w:val="00BE6827"/>
    <w:rsid w:val="00BE6A70"/>
    <w:rsid w:val="00BE7A55"/>
    <w:rsid w:val="00BE7BD7"/>
    <w:rsid w:val="00BF1076"/>
    <w:rsid w:val="00BF12F2"/>
    <w:rsid w:val="00BF1601"/>
    <w:rsid w:val="00BF1655"/>
    <w:rsid w:val="00BF1CA8"/>
    <w:rsid w:val="00BF294E"/>
    <w:rsid w:val="00BF335B"/>
    <w:rsid w:val="00BF38E9"/>
    <w:rsid w:val="00BF404E"/>
    <w:rsid w:val="00BF433B"/>
    <w:rsid w:val="00BF492D"/>
    <w:rsid w:val="00BF535A"/>
    <w:rsid w:val="00BF5BA8"/>
    <w:rsid w:val="00BF5BAC"/>
    <w:rsid w:val="00BF66ED"/>
    <w:rsid w:val="00BF71F4"/>
    <w:rsid w:val="00BF772E"/>
    <w:rsid w:val="00BF7B32"/>
    <w:rsid w:val="00C00210"/>
    <w:rsid w:val="00C0104B"/>
    <w:rsid w:val="00C01153"/>
    <w:rsid w:val="00C01CE8"/>
    <w:rsid w:val="00C01FBC"/>
    <w:rsid w:val="00C02276"/>
    <w:rsid w:val="00C0265E"/>
    <w:rsid w:val="00C02735"/>
    <w:rsid w:val="00C02CDD"/>
    <w:rsid w:val="00C02FE5"/>
    <w:rsid w:val="00C04475"/>
    <w:rsid w:val="00C0493B"/>
    <w:rsid w:val="00C04CF8"/>
    <w:rsid w:val="00C04ECD"/>
    <w:rsid w:val="00C052D7"/>
    <w:rsid w:val="00C05AD3"/>
    <w:rsid w:val="00C05E1D"/>
    <w:rsid w:val="00C05E61"/>
    <w:rsid w:val="00C06322"/>
    <w:rsid w:val="00C06752"/>
    <w:rsid w:val="00C06B45"/>
    <w:rsid w:val="00C06C12"/>
    <w:rsid w:val="00C07017"/>
    <w:rsid w:val="00C073EF"/>
    <w:rsid w:val="00C07B38"/>
    <w:rsid w:val="00C10290"/>
    <w:rsid w:val="00C1078F"/>
    <w:rsid w:val="00C112D2"/>
    <w:rsid w:val="00C11943"/>
    <w:rsid w:val="00C138BC"/>
    <w:rsid w:val="00C1422B"/>
    <w:rsid w:val="00C148F3"/>
    <w:rsid w:val="00C14E8D"/>
    <w:rsid w:val="00C15450"/>
    <w:rsid w:val="00C154D6"/>
    <w:rsid w:val="00C1685E"/>
    <w:rsid w:val="00C16962"/>
    <w:rsid w:val="00C16BC8"/>
    <w:rsid w:val="00C171DF"/>
    <w:rsid w:val="00C17C71"/>
    <w:rsid w:val="00C17D1A"/>
    <w:rsid w:val="00C21164"/>
    <w:rsid w:val="00C21D11"/>
    <w:rsid w:val="00C21F57"/>
    <w:rsid w:val="00C222FF"/>
    <w:rsid w:val="00C22403"/>
    <w:rsid w:val="00C22683"/>
    <w:rsid w:val="00C228EE"/>
    <w:rsid w:val="00C23368"/>
    <w:rsid w:val="00C236BB"/>
    <w:rsid w:val="00C240CB"/>
    <w:rsid w:val="00C245BA"/>
    <w:rsid w:val="00C255DC"/>
    <w:rsid w:val="00C25865"/>
    <w:rsid w:val="00C258A8"/>
    <w:rsid w:val="00C25CAE"/>
    <w:rsid w:val="00C264F9"/>
    <w:rsid w:val="00C27683"/>
    <w:rsid w:val="00C27EF9"/>
    <w:rsid w:val="00C319BB"/>
    <w:rsid w:val="00C328D2"/>
    <w:rsid w:val="00C338FA"/>
    <w:rsid w:val="00C34338"/>
    <w:rsid w:val="00C34B57"/>
    <w:rsid w:val="00C359F1"/>
    <w:rsid w:val="00C35D7F"/>
    <w:rsid w:val="00C363DA"/>
    <w:rsid w:val="00C36921"/>
    <w:rsid w:val="00C369B8"/>
    <w:rsid w:val="00C36E27"/>
    <w:rsid w:val="00C36EC1"/>
    <w:rsid w:val="00C372A3"/>
    <w:rsid w:val="00C37756"/>
    <w:rsid w:val="00C37B05"/>
    <w:rsid w:val="00C37F9F"/>
    <w:rsid w:val="00C408E7"/>
    <w:rsid w:val="00C409AF"/>
    <w:rsid w:val="00C40B03"/>
    <w:rsid w:val="00C40F31"/>
    <w:rsid w:val="00C41102"/>
    <w:rsid w:val="00C41BAD"/>
    <w:rsid w:val="00C43120"/>
    <w:rsid w:val="00C43280"/>
    <w:rsid w:val="00C43417"/>
    <w:rsid w:val="00C44F0A"/>
    <w:rsid w:val="00C468FF"/>
    <w:rsid w:val="00C470E8"/>
    <w:rsid w:val="00C4714B"/>
    <w:rsid w:val="00C47258"/>
    <w:rsid w:val="00C47332"/>
    <w:rsid w:val="00C475BE"/>
    <w:rsid w:val="00C479E2"/>
    <w:rsid w:val="00C47E12"/>
    <w:rsid w:val="00C501AA"/>
    <w:rsid w:val="00C50C4F"/>
    <w:rsid w:val="00C50C54"/>
    <w:rsid w:val="00C50F81"/>
    <w:rsid w:val="00C529D7"/>
    <w:rsid w:val="00C52B78"/>
    <w:rsid w:val="00C52FBB"/>
    <w:rsid w:val="00C5300E"/>
    <w:rsid w:val="00C53ECE"/>
    <w:rsid w:val="00C541B8"/>
    <w:rsid w:val="00C548BB"/>
    <w:rsid w:val="00C552F7"/>
    <w:rsid w:val="00C55305"/>
    <w:rsid w:val="00C55945"/>
    <w:rsid w:val="00C567C5"/>
    <w:rsid w:val="00C56A5C"/>
    <w:rsid w:val="00C57430"/>
    <w:rsid w:val="00C574CC"/>
    <w:rsid w:val="00C57937"/>
    <w:rsid w:val="00C57C26"/>
    <w:rsid w:val="00C57E61"/>
    <w:rsid w:val="00C60831"/>
    <w:rsid w:val="00C60CE6"/>
    <w:rsid w:val="00C60DE0"/>
    <w:rsid w:val="00C615E4"/>
    <w:rsid w:val="00C61E55"/>
    <w:rsid w:val="00C63674"/>
    <w:rsid w:val="00C63A59"/>
    <w:rsid w:val="00C63A5D"/>
    <w:rsid w:val="00C63D58"/>
    <w:rsid w:val="00C679DC"/>
    <w:rsid w:val="00C67AAC"/>
    <w:rsid w:val="00C70C80"/>
    <w:rsid w:val="00C71229"/>
    <w:rsid w:val="00C71DB7"/>
    <w:rsid w:val="00C71DD9"/>
    <w:rsid w:val="00C72FAA"/>
    <w:rsid w:val="00C7399E"/>
    <w:rsid w:val="00C7492B"/>
    <w:rsid w:val="00C74A9E"/>
    <w:rsid w:val="00C75253"/>
    <w:rsid w:val="00C75389"/>
    <w:rsid w:val="00C76867"/>
    <w:rsid w:val="00C7693F"/>
    <w:rsid w:val="00C77A5D"/>
    <w:rsid w:val="00C8030C"/>
    <w:rsid w:val="00C80F0A"/>
    <w:rsid w:val="00C81156"/>
    <w:rsid w:val="00C81FEB"/>
    <w:rsid w:val="00C82400"/>
    <w:rsid w:val="00C82762"/>
    <w:rsid w:val="00C82AD1"/>
    <w:rsid w:val="00C82ED2"/>
    <w:rsid w:val="00C83C46"/>
    <w:rsid w:val="00C84769"/>
    <w:rsid w:val="00C85772"/>
    <w:rsid w:val="00C85EC8"/>
    <w:rsid w:val="00C85F95"/>
    <w:rsid w:val="00C862D3"/>
    <w:rsid w:val="00C863C9"/>
    <w:rsid w:val="00C87194"/>
    <w:rsid w:val="00C875F1"/>
    <w:rsid w:val="00C87604"/>
    <w:rsid w:val="00C90061"/>
    <w:rsid w:val="00C902C2"/>
    <w:rsid w:val="00C905F5"/>
    <w:rsid w:val="00C91030"/>
    <w:rsid w:val="00C91EDE"/>
    <w:rsid w:val="00C91FD7"/>
    <w:rsid w:val="00C92073"/>
    <w:rsid w:val="00C9234F"/>
    <w:rsid w:val="00C92FD4"/>
    <w:rsid w:val="00C93A92"/>
    <w:rsid w:val="00C93B4E"/>
    <w:rsid w:val="00C940AD"/>
    <w:rsid w:val="00C94922"/>
    <w:rsid w:val="00C951B5"/>
    <w:rsid w:val="00C956B0"/>
    <w:rsid w:val="00C95C8D"/>
    <w:rsid w:val="00C9649D"/>
    <w:rsid w:val="00C96ADD"/>
    <w:rsid w:val="00C96CA2"/>
    <w:rsid w:val="00C96D10"/>
    <w:rsid w:val="00C9726C"/>
    <w:rsid w:val="00C973D7"/>
    <w:rsid w:val="00C97B62"/>
    <w:rsid w:val="00CA0340"/>
    <w:rsid w:val="00CA0603"/>
    <w:rsid w:val="00CA084E"/>
    <w:rsid w:val="00CA0A95"/>
    <w:rsid w:val="00CA0D2C"/>
    <w:rsid w:val="00CA1573"/>
    <w:rsid w:val="00CA22D3"/>
    <w:rsid w:val="00CA28F2"/>
    <w:rsid w:val="00CA2B03"/>
    <w:rsid w:val="00CA35EF"/>
    <w:rsid w:val="00CA3775"/>
    <w:rsid w:val="00CA3F62"/>
    <w:rsid w:val="00CA42F7"/>
    <w:rsid w:val="00CA4EAE"/>
    <w:rsid w:val="00CA6131"/>
    <w:rsid w:val="00CA6180"/>
    <w:rsid w:val="00CA6482"/>
    <w:rsid w:val="00CA653C"/>
    <w:rsid w:val="00CA694E"/>
    <w:rsid w:val="00CA698B"/>
    <w:rsid w:val="00CA69A6"/>
    <w:rsid w:val="00CA6ABE"/>
    <w:rsid w:val="00CA6E1D"/>
    <w:rsid w:val="00CA729E"/>
    <w:rsid w:val="00CA7634"/>
    <w:rsid w:val="00CA7C39"/>
    <w:rsid w:val="00CA7CA3"/>
    <w:rsid w:val="00CB0083"/>
    <w:rsid w:val="00CB0169"/>
    <w:rsid w:val="00CB022F"/>
    <w:rsid w:val="00CB082F"/>
    <w:rsid w:val="00CB0BBF"/>
    <w:rsid w:val="00CB0BE3"/>
    <w:rsid w:val="00CB1FD6"/>
    <w:rsid w:val="00CB2529"/>
    <w:rsid w:val="00CB2ECD"/>
    <w:rsid w:val="00CB3EF8"/>
    <w:rsid w:val="00CB4074"/>
    <w:rsid w:val="00CB4259"/>
    <w:rsid w:val="00CB431E"/>
    <w:rsid w:val="00CB49F5"/>
    <w:rsid w:val="00CB4C11"/>
    <w:rsid w:val="00CB4F20"/>
    <w:rsid w:val="00CB616E"/>
    <w:rsid w:val="00CB6213"/>
    <w:rsid w:val="00CB634F"/>
    <w:rsid w:val="00CB63A3"/>
    <w:rsid w:val="00CB6470"/>
    <w:rsid w:val="00CB6CC3"/>
    <w:rsid w:val="00CB7268"/>
    <w:rsid w:val="00CB72D9"/>
    <w:rsid w:val="00CB7417"/>
    <w:rsid w:val="00CC1AAC"/>
    <w:rsid w:val="00CC2344"/>
    <w:rsid w:val="00CC2F71"/>
    <w:rsid w:val="00CC31C6"/>
    <w:rsid w:val="00CC321B"/>
    <w:rsid w:val="00CC32BA"/>
    <w:rsid w:val="00CC33CD"/>
    <w:rsid w:val="00CC38EB"/>
    <w:rsid w:val="00CC43B1"/>
    <w:rsid w:val="00CC58C8"/>
    <w:rsid w:val="00CC6B0F"/>
    <w:rsid w:val="00CC6E17"/>
    <w:rsid w:val="00CC7444"/>
    <w:rsid w:val="00CD051C"/>
    <w:rsid w:val="00CD0CD1"/>
    <w:rsid w:val="00CD0F93"/>
    <w:rsid w:val="00CD11CA"/>
    <w:rsid w:val="00CD2FF4"/>
    <w:rsid w:val="00CD3253"/>
    <w:rsid w:val="00CD3C7B"/>
    <w:rsid w:val="00CD49C5"/>
    <w:rsid w:val="00CD538C"/>
    <w:rsid w:val="00CD5925"/>
    <w:rsid w:val="00CD6008"/>
    <w:rsid w:val="00CD6463"/>
    <w:rsid w:val="00CD6A6A"/>
    <w:rsid w:val="00CD6BD1"/>
    <w:rsid w:val="00CD7523"/>
    <w:rsid w:val="00CD7ADC"/>
    <w:rsid w:val="00CE0245"/>
    <w:rsid w:val="00CE0979"/>
    <w:rsid w:val="00CE0EDE"/>
    <w:rsid w:val="00CE12A7"/>
    <w:rsid w:val="00CE170A"/>
    <w:rsid w:val="00CE1A6B"/>
    <w:rsid w:val="00CE2476"/>
    <w:rsid w:val="00CE34C7"/>
    <w:rsid w:val="00CE4529"/>
    <w:rsid w:val="00CE5E96"/>
    <w:rsid w:val="00CE5FE4"/>
    <w:rsid w:val="00CE6708"/>
    <w:rsid w:val="00CE692D"/>
    <w:rsid w:val="00CE7258"/>
    <w:rsid w:val="00CE7A58"/>
    <w:rsid w:val="00CE7DBA"/>
    <w:rsid w:val="00CF0142"/>
    <w:rsid w:val="00CF0215"/>
    <w:rsid w:val="00CF0C20"/>
    <w:rsid w:val="00CF0CE2"/>
    <w:rsid w:val="00CF1597"/>
    <w:rsid w:val="00CF173A"/>
    <w:rsid w:val="00CF174E"/>
    <w:rsid w:val="00CF24D4"/>
    <w:rsid w:val="00CF2CAA"/>
    <w:rsid w:val="00CF2D02"/>
    <w:rsid w:val="00CF3EAE"/>
    <w:rsid w:val="00CF635A"/>
    <w:rsid w:val="00CF6D29"/>
    <w:rsid w:val="00CF778F"/>
    <w:rsid w:val="00D000FB"/>
    <w:rsid w:val="00D00C2C"/>
    <w:rsid w:val="00D00C49"/>
    <w:rsid w:val="00D01600"/>
    <w:rsid w:val="00D016C8"/>
    <w:rsid w:val="00D01C80"/>
    <w:rsid w:val="00D01EE8"/>
    <w:rsid w:val="00D0357C"/>
    <w:rsid w:val="00D035A0"/>
    <w:rsid w:val="00D03ED0"/>
    <w:rsid w:val="00D0447A"/>
    <w:rsid w:val="00D048F5"/>
    <w:rsid w:val="00D05E8D"/>
    <w:rsid w:val="00D05F26"/>
    <w:rsid w:val="00D06B52"/>
    <w:rsid w:val="00D06D21"/>
    <w:rsid w:val="00D072BB"/>
    <w:rsid w:val="00D105EF"/>
    <w:rsid w:val="00D11030"/>
    <w:rsid w:val="00D125DD"/>
    <w:rsid w:val="00D13818"/>
    <w:rsid w:val="00D13AB6"/>
    <w:rsid w:val="00D145D0"/>
    <w:rsid w:val="00D15D79"/>
    <w:rsid w:val="00D160EF"/>
    <w:rsid w:val="00D163FB"/>
    <w:rsid w:val="00D16921"/>
    <w:rsid w:val="00D16AD1"/>
    <w:rsid w:val="00D173A0"/>
    <w:rsid w:val="00D2054C"/>
    <w:rsid w:val="00D207EE"/>
    <w:rsid w:val="00D20969"/>
    <w:rsid w:val="00D20A96"/>
    <w:rsid w:val="00D20B4E"/>
    <w:rsid w:val="00D21399"/>
    <w:rsid w:val="00D21535"/>
    <w:rsid w:val="00D215D3"/>
    <w:rsid w:val="00D21A97"/>
    <w:rsid w:val="00D22048"/>
    <w:rsid w:val="00D22376"/>
    <w:rsid w:val="00D228AD"/>
    <w:rsid w:val="00D22A63"/>
    <w:rsid w:val="00D22B45"/>
    <w:rsid w:val="00D2330B"/>
    <w:rsid w:val="00D23E75"/>
    <w:rsid w:val="00D23FC3"/>
    <w:rsid w:val="00D2502B"/>
    <w:rsid w:val="00D253D9"/>
    <w:rsid w:val="00D25619"/>
    <w:rsid w:val="00D2582C"/>
    <w:rsid w:val="00D25958"/>
    <w:rsid w:val="00D25CAE"/>
    <w:rsid w:val="00D263DB"/>
    <w:rsid w:val="00D272EE"/>
    <w:rsid w:val="00D27EAA"/>
    <w:rsid w:val="00D27FA1"/>
    <w:rsid w:val="00D3005F"/>
    <w:rsid w:val="00D302E0"/>
    <w:rsid w:val="00D309BC"/>
    <w:rsid w:val="00D31355"/>
    <w:rsid w:val="00D31581"/>
    <w:rsid w:val="00D33289"/>
    <w:rsid w:val="00D33A21"/>
    <w:rsid w:val="00D33CFC"/>
    <w:rsid w:val="00D33FB7"/>
    <w:rsid w:val="00D34703"/>
    <w:rsid w:val="00D34730"/>
    <w:rsid w:val="00D34951"/>
    <w:rsid w:val="00D3516D"/>
    <w:rsid w:val="00D35B3C"/>
    <w:rsid w:val="00D36054"/>
    <w:rsid w:val="00D363D0"/>
    <w:rsid w:val="00D36995"/>
    <w:rsid w:val="00D36A95"/>
    <w:rsid w:val="00D36D11"/>
    <w:rsid w:val="00D400BC"/>
    <w:rsid w:val="00D41036"/>
    <w:rsid w:val="00D41887"/>
    <w:rsid w:val="00D42278"/>
    <w:rsid w:val="00D432AA"/>
    <w:rsid w:val="00D43521"/>
    <w:rsid w:val="00D43C8D"/>
    <w:rsid w:val="00D43DDC"/>
    <w:rsid w:val="00D440DB"/>
    <w:rsid w:val="00D44543"/>
    <w:rsid w:val="00D44586"/>
    <w:rsid w:val="00D45083"/>
    <w:rsid w:val="00D4509F"/>
    <w:rsid w:val="00D45CC4"/>
    <w:rsid w:val="00D46B28"/>
    <w:rsid w:val="00D46CE7"/>
    <w:rsid w:val="00D47303"/>
    <w:rsid w:val="00D52D22"/>
    <w:rsid w:val="00D5374F"/>
    <w:rsid w:val="00D53756"/>
    <w:rsid w:val="00D53A04"/>
    <w:rsid w:val="00D53A4A"/>
    <w:rsid w:val="00D53AA6"/>
    <w:rsid w:val="00D543C9"/>
    <w:rsid w:val="00D5440A"/>
    <w:rsid w:val="00D54E63"/>
    <w:rsid w:val="00D555FF"/>
    <w:rsid w:val="00D5621B"/>
    <w:rsid w:val="00D568B0"/>
    <w:rsid w:val="00D57261"/>
    <w:rsid w:val="00D578BF"/>
    <w:rsid w:val="00D609B8"/>
    <w:rsid w:val="00D609DB"/>
    <w:rsid w:val="00D60A28"/>
    <w:rsid w:val="00D6213A"/>
    <w:rsid w:val="00D62F29"/>
    <w:rsid w:val="00D6312F"/>
    <w:rsid w:val="00D6480A"/>
    <w:rsid w:val="00D65214"/>
    <w:rsid w:val="00D652A8"/>
    <w:rsid w:val="00D660C9"/>
    <w:rsid w:val="00D66591"/>
    <w:rsid w:val="00D66D23"/>
    <w:rsid w:val="00D671B9"/>
    <w:rsid w:val="00D6779F"/>
    <w:rsid w:val="00D67C0B"/>
    <w:rsid w:val="00D67EA6"/>
    <w:rsid w:val="00D7012B"/>
    <w:rsid w:val="00D717F9"/>
    <w:rsid w:val="00D71A1F"/>
    <w:rsid w:val="00D71E7E"/>
    <w:rsid w:val="00D71E9B"/>
    <w:rsid w:val="00D72E62"/>
    <w:rsid w:val="00D7319C"/>
    <w:rsid w:val="00D7336D"/>
    <w:rsid w:val="00D73489"/>
    <w:rsid w:val="00D73C53"/>
    <w:rsid w:val="00D751C7"/>
    <w:rsid w:val="00D75308"/>
    <w:rsid w:val="00D754EC"/>
    <w:rsid w:val="00D75FC0"/>
    <w:rsid w:val="00D762B2"/>
    <w:rsid w:val="00D76443"/>
    <w:rsid w:val="00D7738E"/>
    <w:rsid w:val="00D77A4F"/>
    <w:rsid w:val="00D77DA7"/>
    <w:rsid w:val="00D80196"/>
    <w:rsid w:val="00D80AA4"/>
    <w:rsid w:val="00D80F91"/>
    <w:rsid w:val="00D815A0"/>
    <w:rsid w:val="00D826E8"/>
    <w:rsid w:val="00D82D82"/>
    <w:rsid w:val="00D830F8"/>
    <w:rsid w:val="00D83715"/>
    <w:rsid w:val="00D83EF1"/>
    <w:rsid w:val="00D83FB4"/>
    <w:rsid w:val="00D84CC0"/>
    <w:rsid w:val="00D852F9"/>
    <w:rsid w:val="00D85630"/>
    <w:rsid w:val="00D85654"/>
    <w:rsid w:val="00D85A48"/>
    <w:rsid w:val="00D85DD6"/>
    <w:rsid w:val="00D85F7A"/>
    <w:rsid w:val="00D8637F"/>
    <w:rsid w:val="00D876AD"/>
    <w:rsid w:val="00D87BD8"/>
    <w:rsid w:val="00D87D34"/>
    <w:rsid w:val="00D90269"/>
    <w:rsid w:val="00D91278"/>
    <w:rsid w:val="00D92CFD"/>
    <w:rsid w:val="00D9331D"/>
    <w:rsid w:val="00D93A77"/>
    <w:rsid w:val="00D93EF2"/>
    <w:rsid w:val="00D94166"/>
    <w:rsid w:val="00D94E50"/>
    <w:rsid w:val="00D96535"/>
    <w:rsid w:val="00D96552"/>
    <w:rsid w:val="00D97910"/>
    <w:rsid w:val="00D97F26"/>
    <w:rsid w:val="00DA0018"/>
    <w:rsid w:val="00DA0FE7"/>
    <w:rsid w:val="00DA15F7"/>
    <w:rsid w:val="00DA1EA8"/>
    <w:rsid w:val="00DA2D1F"/>
    <w:rsid w:val="00DA30EE"/>
    <w:rsid w:val="00DA35F3"/>
    <w:rsid w:val="00DA3880"/>
    <w:rsid w:val="00DA3A49"/>
    <w:rsid w:val="00DA3BAC"/>
    <w:rsid w:val="00DA3CE5"/>
    <w:rsid w:val="00DA4611"/>
    <w:rsid w:val="00DA47DE"/>
    <w:rsid w:val="00DA48CE"/>
    <w:rsid w:val="00DA4DFE"/>
    <w:rsid w:val="00DA510A"/>
    <w:rsid w:val="00DA53C6"/>
    <w:rsid w:val="00DA5849"/>
    <w:rsid w:val="00DA5D54"/>
    <w:rsid w:val="00DA6199"/>
    <w:rsid w:val="00DA720F"/>
    <w:rsid w:val="00DA7457"/>
    <w:rsid w:val="00DA7971"/>
    <w:rsid w:val="00DB0562"/>
    <w:rsid w:val="00DB063D"/>
    <w:rsid w:val="00DB0CF2"/>
    <w:rsid w:val="00DB10A9"/>
    <w:rsid w:val="00DB1395"/>
    <w:rsid w:val="00DB221B"/>
    <w:rsid w:val="00DB2719"/>
    <w:rsid w:val="00DB2ADE"/>
    <w:rsid w:val="00DB2F86"/>
    <w:rsid w:val="00DB32CC"/>
    <w:rsid w:val="00DB32FB"/>
    <w:rsid w:val="00DB3BE3"/>
    <w:rsid w:val="00DB3E4F"/>
    <w:rsid w:val="00DB565E"/>
    <w:rsid w:val="00DB58C5"/>
    <w:rsid w:val="00DB5A10"/>
    <w:rsid w:val="00DB5B80"/>
    <w:rsid w:val="00DB5EFC"/>
    <w:rsid w:val="00DB6734"/>
    <w:rsid w:val="00DB6B66"/>
    <w:rsid w:val="00DB72D2"/>
    <w:rsid w:val="00DB79ED"/>
    <w:rsid w:val="00DB7C8C"/>
    <w:rsid w:val="00DC06AB"/>
    <w:rsid w:val="00DC0D86"/>
    <w:rsid w:val="00DC0E17"/>
    <w:rsid w:val="00DC1645"/>
    <w:rsid w:val="00DC1DAE"/>
    <w:rsid w:val="00DC1E04"/>
    <w:rsid w:val="00DC252B"/>
    <w:rsid w:val="00DC2835"/>
    <w:rsid w:val="00DC3110"/>
    <w:rsid w:val="00DC3436"/>
    <w:rsid w:val="00DC37F3"/>
    <w:rsid w:val="00DC4686"/>
    <w:rsid w:val="00DC480A"/>
    <w:rsid w:val="00DC4A44"/>
    <w:rsid w:val="00DC4C33"/>
    <w:rsid w:val="00DC4CE9"/>
    <w:rsid w:val="00DC4F68"/>
    <w:rsid w:val="00DC512E"/>
    <w:rsid w:val="00DC7AA7"/>
    <w:rsid w:val="00DD0248"/>
    <w:rsid w:val="00DD0602"/>
    <w:rsid w:val="00DD1301"/>
    <w:rsid w:val="00DD182A"/>
    <w:rsid w:val="00DD18A7"/>
    <w:rsid w:val="00DD1CBA"/>
    <w:rsid w:val="00DD240D"/>
    <w:rsid w:val="00DD27A0"/>
    <w:rsid w:val="00DD2A66"/>
    <w:rsid w:val="00DD2EB6"/>
    <w:rsid w:val="00DD2F26"/>
    <w:rsid w:val="00DD3757"/>
    <w:rsid w:val="00DD4160"/>
    <w:rsid w:val="00DD41E0"/>
    <w:rsid w:val="00DD424B"/>
    <w:rsid w:val="00DD48D0"/>
    <w:rsid w:val="00DD4CB0"/>
    <w:rsid w:val="00DD5105"/>
    <w:rsid w:val="00DD578E"/>
    <w:rsid w:val="00DD5A5C"/>
    <w:rsid w:val="00DD6AD3"/>
    <w:rsid w:val="00DD7510"/>
    <w:rsid w:val="00DD78D4"/>
    <w:rsid w:val="00DD79C1"/>
    <w:rsid w:val="00DD7DB8"/>
    <w:rsid w:val="00DE0343"/>
    <w:rsid w:val="00DE1448"/>
    <w:rsid w:val="00DE1F70"/>
    <w:rsid w:val="00DE2C50"/>
    <w:rsid w:val="00DE3351"/>
    <w:rsid w:val="00DE37A8"/>
    <w:rsid w:val="00DE392F"/>
    <w:rsid w:val="00DE46F2"/>
    <w:rsid w:val="00DE48FE"/>
    <w:rsid w:val="00DE51A6"/>
    <w:rsid w:val="00DE5852"/>
    <w:rsid w:val="00DE5AB3"/>
    <w:rsid w:val="00DE67A3"/>
    <w:rsid w:val="00DE6FC6"/>
    <w:rsid w:val="00DE7324"/>
    <w:rsid w:val="00DE7386"/>
    <w:rsid w:val="00DE797F"/>
    <w:rsid w:val="00DE7D15"/>
    <w:rsid w:val="00DE7D24"/>
    <w:rsid w:val="00DE7D5F"/>
    <w:rsid w:val="00DF076C"/>
    <w:rsid w:val="00DF111F"/>
    <w:rsid w:val="00DF120A"/>
    <w:rsid w:val="00DF129A"/>
    <w:rsid w:val="00DF212E"/>
    <w:rsid w:val="00DF24EA"/>
    <w:rsid w:val="00DF2671"/>
    <w:rsid w:val="00DF373B"/>
    <w:rsid w:val="00DF3C05"/>
    <w:rsid w:val="00DF46B2"/>
    <w:rsid w:val="00DF4738"/>
    <w:rsid w:val="00DF4F5D"/>
    <w:rsid w:val="00DF5ADD"/>
    <w:rsid w:val="00E0053E"/>
    <w:rsid w:val="00E00D8C"/>
    <w:rsid w:val="00E01596"/>
    <w:rsid w:val="00E01DF3"/>
    <w:rsid w:val="00E02A91"/>
    <w:rsid w:val="00E02B75"/>
    <w:rsid w:val="00E02FB3"/>
    <w:rsid w:val="00E03527"/>
    <w:rsid w:val="00E03C8C"/>
    <w:rsid w:val="00E03E8E"/>
    <w:rsid w:val="00E04F32"/>
    <w:rsid w:val="00E056AD"/>
    <w:rsid w:val="00E05A47"/>
    <w:rsid w:val="00E05B96"/>
    <w:rsid w:val="00E06A71"/>
    <w:rsid w:val="00E06DAB"/>
    <w:rsid w:val="00E07741"/>
    <w:rsid w:val="00E1035E"/>
    <w:rsid w:val="00E1042B"/>
    <w:rsid w:val="00E1136B"/>
    <w:rsid w:val="00E126B1"/>
    <w:rsid w:val="00E12BA4"/>
    <w:rsid w:val="00E12E35"/>
    <w:rsid w:val="00E1337B"/>
    <w:rsid w:val="00E14071"/>
    <w:rsid w:val="00E14952"/>
    <w:rsid w:val="00E14ACD"/>
    <w:rsid w:val="00E14B40"/>
    <w:rsid w:val="00E1506B"/>
    <w:rsid w:val="00E1539A"/>
    <w:rsid w:val="00E15A80"/>
    <w:rsid w:val="00E15F68"/>
    <w:rsid w:val="00E16367"/>
    <w:rsid w:val="00E16ABF"/>
    <w:rsid w:val="00E16F37"/>
    <w:rsid w:val="00E175E1"/>
    <w:rsid w:val="00E17AF9"/>
    <w:rsid w:val="00E204D2"/>
    <w:rsid w:val="00E206C0"/>
    <w:rsid w:val="00E2126D"/>
    <w:rsid w:val="00E21501"/>
    <w:rsid w:val="00E2180D"/>
    <w:rsid w:val="00E2181F"/>
    <w:rsid w:val="00E21A7D"/>
    <w:rsid w:val="00E21D4E"/>
    <w:rsid w:val="00E22BBA"/>
    <w:rsid w:val="00E22D82"/>
    <w:rsid w:val="00E23216"/>
    <w:rsid w:val="00E232DF"/>
    <w:rsid w:val="00E24EA7"/>
    <w:rsid w:val="00E2610A"/>
    <w:rsid w:val="00E26159"/>
    <w:rsid w:val="00E26201"/>
    <w:rsid w:val="00E263F4"/>
    <w:rsid w:val="00E266FA"/>
    <w:rsid w:val="00E26D38"/>
    <w:rsid w:val="00E27291"/>
    <w:rsid w:val="00E27801"/>
    <w:rsid w:val="00E279D2"/>
    <w:rsid w:val="00E27A5D"/>
    <w:rsid w:val="00E31144"/>
    <w:rsid w:val="00E31180"/>
    <w:rsid w:val="00E32D34"/>
    <w:rsid w:val="00E33CDC"/>
    <w:rsid w:val="00E34DB0"/>
    <w:rsid w:val="00E3537B"/>
    <w:rsid w:val="00E353AA"/>
    <w:rsid w:val="00E363C9"/>
    <w:rsid w:val="00E3686F"/>
    <w:rsid w:val="00E36A21"/>
    <w:rsid w:val="00E36E85"/>
    <w:rsid w:val="00E374EE"/>
    <w:rsid w:val="00E37F2A"/>
    <w:rsid w:val="00E403B1"/>
    <w:rsid w:val="00E40666"/>
    <w:rsid w:val="00E407CA"/>
    <w:rsid w:val="00E40C18"/>
    <w:rsid w:val="00E412E3"/>
    <w:rsid w:val="00E41E52"/>
    <w:rsid w:val="00E428EC"/>
    <w:rsid w:val="00E43767"/>
    <w:rsid w:val="00E43FBA"/>
    <w:rsid w:val="00E44F50"/>
    <w:rsid w:val="00E45004"/>
    <w:rsid w:val="00E45249"/>
    <w:rsid w:val="00E45B5C"/>
    <w:rsid w:val="00E46502"/>
    <w:rsid w:val="00E467C3"/>
    <w:rsid w:val="00E46D3B"/>
    <w:rsid w:val="00E50F1D"/>
    <w:rsid w:val="00E514B2"/>
    <w:rsid w:val="00E51619"/>
    <w:rsid w:val="00E51737"/>
    <w:rsid w:val="00E51985"/>
    <w:rsid w:val="00E522A6"/>
    <w:rsid w:val="00E530F5"/>
    <w:rsid w:val="00E531E5"/>
    <w:rsid w:val="00E5392E"/>
    <w:rsid w:val="00E55153"/>
    <w:rsid w:val="00E55B67"/>
    <w:rsid w:val="00E560BA"/>
    <w:rsid w:val="00E56184"/>
    <w:rsid w:val="00E56602"/>
    <w:rsid w:val="00E56BF4"/>
    <w:rsid w:val="00E56CEF"/>
    <w:rsid w:val="00E57A27"/>
    <w:rsid w:val="00E61A89"/>
    <w:rsid w:val="00E62120"/>
    <w:rsid w:val="00E6264F"/>
    <w:rsid w:val="00E62BD7"/>
    <w:rsid w:val="00E63686"/>
    <w:rsid w:val="00E64269"/>
    <w:rsid w:val="00E648B5"/>
    <w:rsid w:val="00E64F4D"/>
    <w:rsid w:val="00E65AF6"/>
    <w:rsid w:val="00E6617A"/>
    <w:rsid w:val="00E662BB"/>
    <w:rsid w:val="00E66F96"/>
    <w:rsid w:val="00E67BB7"/>
    <w:rsid w:val="00E710EE"/>
    <w:rsid w:val="00E720AB"/>
    <w:rsid w:val="00E72809"/>
    <w:rsid w:val="00E72D58"/>
    <w:rsid w:val="00E72EC5"/>
    <w:rsid w:val="00E72F69"/>
    <w:rsid w:val="00E73DD6"/>
    <w:rsid w:val="00E74C9D"/>
    <w:rsid w:val="00E758A1"/>
    <w:rsid w:val="00E760C2"/>
    <w:rsid w:val="00E76597"/>
    <w:rsid w:val="00E80196"/>
    <w:rsid w:val="00E80B43"/>
    <w:rsid w:val="00E80CC1"/>
    <w:rsid w:val="00E80DD6"/>
    <w:rsid w:val="00E81F42"/>
    <w:rsid w:val="00E83DB1"/>
    <w:rsid w:val="00E84423"/>
    <w:rsid w:val="00E84525"/>
    <w:rsid w:val="00E84A05"/>
    <w:rsid w:val="00E85143"/>
    <w:rsid w:val="00E856F0"/>
    <w:rsid w:val="00E85BA4"/>
    <w:rsid w:val="00E85C19"/>
    <w:rsid w:val="00E85CF8"/>
    <w:rsid w:val="00E85D30"/>
    <w:rsid w:val="00E86E3B"/>
    <w:rsid w:val="00E870C8"/>
    <w:rsid w:val="00E902E7"/>
    <w:rsid w:val="00E90BAF"/>
    <w:rsid w:val="00E9140A"/>
    <w:rsid w:val="00E91BF9"/>
    <w:rsid w:val="00E92D2F"/>
    <w:rsid w:val="00E935E1"/>
    <w:rsid w:val="00E93D64"/>
    <w:rsid w:val="00E94106"/>
    <w:rsid w:val="00E942C3"/>
    <w:rsid w:val="00E94AFF"/>
    <w:rsid w:val="00E95A10"/>
    <w:rsid w:val="00E95DFB"/>
    <w:rsid w:val="00E95ED8"/>
    <w:rsid w:val="00E96555"/>
    <w:rsid w:val="00E9698D"/>
    <w:rsid w:val="00E96E95"/>
    <w:rsid w:val="00EA0183"/>
    <w:rsid w:val="00EA06FF"/>
    <w:rsid w:val="00EA1179"/>
    <w:rsid w:val="00EA133D"/>
    <w:rsid w:val="00EA1360"/>
    <w:rsid w:val="00EA1AF7"/>
    <w:rsid w:val="00EA26A1"/>
    <w:rsid w:val="00EA2F55"/>
    <w:rsid w:val="00EA2F9F"/>
    <w:rsid w:val="00EA3A1B"/>
    <w:rsid w:val="00EA3EB5"/>
    <w:rsid w:val="00EA3FF9"/>
    <w:rsid w:val="00EA49D1"/>
    <w:rsid w:val="00EA5376"/>
    <w:rsid w:val="00EA55A8"/>
    <w:rsid w:val="00EA6E9A"/>
    <w:rsid w:val="00EA73BF"/>
    <w:rsid w:val="00EA7C31"/>
    <w:rsid w:val="00EA7ECB"/>
    <w:rsid w:val="00EB067D"/>
    <w:rsid w:val="00EB082F"/>
    <w:rsid w:val="00EB0AD1"/>
    <w:rsid w:val="00EB0D11"/>
    <w:rsid w:val="00EB160D"/>
    <w:rsid w:val="00EB1A4D"/>
    <w:rsid w:val="00EB3886"/>
    <w:rsid w:val="00EB3D6B"/>
    <w:rsid w:val="00EB3DB3"/>
    <w:rsid w:val="00EB4549"/>
    <w:rsid w:val="00EB475B"/>
    <w:rsid w:val="00EB582A"/>
    <w:rsid w:val="00EB5F3F"/>
    <w:rsid w:val="00EB69DA"/>
    <w:rsid w:val="00EB6AB6"/>
    <w:rsid w:val="00EB6BA8"/>
    <w:rsid w:val="00EB6E50"/>
    <w:rsid w:val="00EB73F4"/>
    <w:rsid w:val="00EB7461"/>
    <w:rsid w:val="00EC04B1"/>
    <w:rsid w:val="00EC0690"/>
    <w:rsid w:val="00EC104A"/>
    <w:rsid w:val="00EC14A7"/>
    <w:rsid w:val="00EC2339"/>
    <w:rsid w:val="00EC2969"/>
    <w:rsid w:val="00EC2CF8"/>
    <w:rsid w:val="00EC2E9F"/>
    <w:rsid w:val="00EC2F87"/>
    <w:rsid w:val="00EC3300"/>
    <w:rsid w:val="00EC4AED"/>
    <w:rsid w:val="00EC4EB7"/>
    <w:rsid w:val="00EC60F0"/>
    <w:rsid w:val="00EC6203"/>
    <w:rsid w:val="00EC626D"/>
    <w:rsid w:val="00EC6935"/>
    <w:rsid w:val="00EC6AC5"/>
    <w:rsid w:val="00EC7041"/>
    <w:rsid w:val="00EC7062"/>
    <w:rsid w:val="00EC7086"/>
    <w:rsid w:val="00EC768B"/>
    <w:rsid w:val="00ED090F"/>
    <w:rsid w:val="00ED0B4A"/>
    <w:rsid w:val="00ED1EAA"/>
    <w:rsid w:val="00ED2C04"/>
    <w:rsid w:val="00ED36FD"/>
    <w:rsid w:val="00ED4470"/>
    <w:rsid w:val="00ED53AF"/>
    <w:rsid w:val="00ED551A"/>
    <w:rsid w:val="00ED55D3"/>
    <w:rsid w:val="00ED5624"/>
    <w:rsid w:val="00ED5D5D"/>
    <w:rsid w:val="00ED5F4B"/>
    <w:rsid w:val="00ED67EA"/>
    <w:rsid w:val="00ED6833"/>
    <w:rsid w:val="00ED7500"/>
    <w:rsid w:val="00ED7EEE"/>
    <w:rsid w:val="00EE0031"/>
    <w:rsid w:val="00EE018E"/>
    <w:rsid w:val="00EE069E"/>
    <w:rsid w:val="00EE06F6"/>
    <w:rsid w:val="00EE0BDD"/>
    <w:rsid w:val="00EE2531"/>
    <w:rsid w:val="00EE26CA"/>
    <w:rsid w:val="00EE2A45"/>
    <w:rsid w:val="00EE2AB5"/>
    <w:rsid w:val="00EE33E4"/>
    <w:rsid w:val="00EE36AA"/>
    <w:rsid w:val="00EE4A05"/>
    <w:rsid w:val="00EE4DD6"/>
    <w:rsid w:val="00EE54D4"/>
    <w:rsid w:val="00EE6341"/>
    <w:rsid w:val="00EE6915"/>
    <w:rsid w:val="00EE6C33"/>
    <w:rsid w:val="00EE6FD0"/>
    <w:rsid w:val="00EE7389"/>
    <w:rsid w:val="00EE765D"/>
    <w:rsid w:val="00EE78B0"/>
    <w:rsid w:val="00EE7F0A"/>
    <w:rsid w:val="00EF02DE"/>
    <w:rsid w:val="00EF0B81"/>
    <w:rsid w:val="00EF0CCD"/>
    <w:rsid w:val="00EF1979"/>
    <w:rsid w:val="00EF23CA"/>
    <w:rsid w:val="00EF28A5"/>
    <w:rsid w:val="00EF2F2F"/>
    <w:rsid w:val="00EF34E1"/>
    <w:rsid w:val="00EF36AF"/>
    <w:rsid w:val="00EF3EF4"/>
    <w:rsid w:val="00EF458E"/>
    <w:rsid w:val="00EF5F4A"/>
    <w:rsid w:val="00EF6DAC"/>
    <w:rsid w:val="00EF77E3"/>
    <w:rsid w:val="00EF7B06"/>
    <w:rsid w:val="00F0015B"/>
    <w:rsid w:val="00F0032F"/>
    <w:rsid w:val="00F00CC6"/>
    <w:rsid w:val="00F00F01"/>
    <w:rsid w:val="00F01056"/>
    <w:rsid w:val="00F01353"/>
    <w:rsid w:val="00F014E9"/>
    <w:rsid w:val="00F0187C"/>
    <w:rsid w:val="00F01880"/>
    <w:rsid w:val="00F02012"/>
    <w:rsid w:val="00F02122"/>
    <w:rsid w:val="00F0223A"/>
    <w:rsid w:val="00F02C2D"/>
    <w:rsid w:val="00F034D2"/>
    <w:rsid w:val="00F0352B"/>
    <w:rsid w:val="00F04204"/>
    <w:rsid w:val="00F043A9"/>
    <w:rsid w:val="00F04B74"/>
    <w:rsid w:val="00F04BF5"/>
    <w:rsid w:val="00F05046"/>
    <w:rsid w:val="00F069F7"/>
    <w:rsid w:val="00F10346"/>
    <w:rsid w:val="00F10645"/>
    <w:rsid w:val="00F1089B"/>
    <w:rsid w:val="00F109F1"/>
    <w:rsid w:val="00F10BB5"/>
    <w:rsid w:val="00F113B7"/>
    <w:rsid w:val="00F1141D"/>
    <w:rsid w:val="00F11CF9"/>
    <w:rsid w:val="00F131A4"/>
    <w:rsid w:val="00F13B4E"/>
    <w:rsid w:val="00F13B5C"/>
    <w:rsid w:val="00F16228"/>
    <w:rsid w:val="00F165BC"/>
    <w:rsid w:val="00F166AA"/>
    <w:rsid w:val="00F17FC9"/>
    <w:rsid w:val="00F200BE"/>
    <w:rsid w:val="00F200EE"/>
    <w:rsid w:val="00F20CF0"/>
    <w:rsid w:val="00F20D8B"/>
    <w:rsid w:val="00F21280"/>
    <w:rsid w:val="00F21AC7"/>
    <w:rsid w:val="00F221CF"/>
    <w:rsid w:val="00F2262C"/>
    <w:rsid w:val="00F2294E"/>
    <w:rsid w:val="00F22972"/>
    <w:rsid w:val="00F23C9E"/>
    <w:rsid w:val="00F23E5F"/>
    <w:rsid w:val="00F23F3B"/>
    <w:rsid w:val="00F23F91"/>
    <w:rsid w:val="00F24176"/>
    <w:rsid w:val="00F24932"/>
    <w:rsid w:val="00F25B5E"/>
    <w:rsid w:val="00F25EF1"/>
    <w:rsid w:val="00F26AC8"/>
    <w:rsid w:val="00F26B17"/>
    <w:rsid w:val="00F26D89"/>
    <w:rsid w:val="00F27E6F"/>
    <w:rsid w:val="00F300D5"/>
    <w:rsid w:val="00F30106"/>
    <w:rsid w:val="00F30190"/>
    <w:rsid w:val="00F31583"/>
    <w:rsid w:val="00F316AE"/>
    <w:rsid w:val="00F31932"/>
    <w:rsid w:val="00F319FB"/>
    <w:rsid w:val="00F3230B"/>
    <w:rsid w:val="00F32EC3"/>
    <w:rsid w:val="00F332B5"/>
    <w:rsid w:val="00F335D7"/>
    <w:rsid w:val="00F33A72"/>
    <w:rsid w:val="00F33F20"/>
    <w:rsid w:val="00F3485B"/>
    <w:rsid w:val="00F35E72"/>
    <w:rsid w:val="00F365FF"/>
    <w:rsid w:val="00F36772"/>
    <w:rsid w:val="00F368DF"/>
    <w:rsid w:val="00F369F0"/>
    <w:rsid w:val="00F37E9A"/>
    <w:rsid w:val="00F37F7C"/>
    <w:rsid w:val="00F406C3"/>
    <w:rsid w:val="00F40A59"/>
    <w:rsid w:val="00F41244"/>
    <w:rsid w:val="00F415E2"/>
    <w:rsid w:val="00F41A43"/>
    <w:rsid w:val="00F41E40"/>
    <w:rsid w:val="00F42183"/>
    <w:rsid w:val="00F4220D"/>
    <w:rsid w:val="00F42A3D"/>
    <w:rsid w:val="00F4312F"/>
    <w:rsid w:val="00F43421"/>
    <w:rsid w:val="00F4352B"/>
    <w:rsid w:val="00F439FE"/>
    <w:rsid w:val="00F43B3B"/>
    <w:rsid w:val="00F43E0B"/>
    <w:rsid w:val="00F44277"/>
    <w:rsid w:val="00F44A40"/>
    <w:rsid w:val="00F45577"/>
    <w:rsid w:val="00F45945"/>
    <w:rsid w:val="00F4604C"/>
    <w:rsid w:val="00F46E8E"/>
    <w:rsid w:val="00F46F93"/>
    <w:rsid w:val="00F50F5B"/>
    <w:rsid w:val="00F51F0E"/>
    <w:rsid w:val="00F51F7D"/>
    <w:rsid w:val="00F52042"/>
    <w:rsid w:val="00F533C5"/>
    <w:rsid w:val="00F537CE"/>
    <w:rsid w:val="00F53AA1"/>
    <w:rsid w:val="00F53D44"/>
    <w:rsid w:val="00F546F4"/>
    <w:rsid w:val="00F54937"/>
    <w:rsid w:val="00F54A25"/>
    <w:rsid w:val="00F54B2F"/>
    <w:rsid w:val="00F55692"/>
    <w:rsid w:val="00F55A95"/>
    <w:rsid w:val="00F56527"/>
    <w:rsid w:val="00F56662"/>
    <w:rsid w:val="00F568D7"/>
    <w:rsid w:val="00F56ECF"/>
    <w:rsid w:val="00F57285"/>
    <w:rsid w:val="00F600E0"/>
    <w:rsid w:val="00F6031F"/>
    <w:rsid w:val="00F60E8D"/>
    <w:rsid w:val="00F616B1"/>
    <w:rsid w:val="00F61BF7"/>
    <w:rsid w:val="00F620DF"/>
    <w:rsid w:val="00F62560"/>
    <w:rsid w:val="00F628F3"/>
    <w:rsid w:val="00F62A43"/>
    <w:rsid w:val="00F6392B"/>
    <w:rsid w:val="00F64240"/>
    <w:rsid w:val="00F65199"/>
    <w:rsid w:val="00F65373"/>
    <w:rsid w:val="00F65537"/>
    <w:rsid w:val="00F659E4"/>
    <w:rsid w:val="00F65AD3"/>
    <w:rsid w:val="00F65F02"/>
    <w:rsid w:val="00F66107"/>
    <w:rsid w:val="00F663FC"/>
    <w:rsid w:val="00F7018B"/>
    <w:rsid w:val="00F70AEB"/>
    <w:rsid w:val="00F7157A"/>
    <w:rsid w:val="00F71706"/>
    <w:rsid w:val="00F71E3A"/>
    <w:rsid w:val="00F7227D"/>
    <w:rsid w:val="00F7297A"/>
    <w:rsid w:val="00F72C20"/>
    <w:rsid w:val="00F72EA8"/>
    <w:rsid w:val="00F73325"/>
    <w:rsid w:val="00F737DC"/>
    <w:rsid w:val="00F73B0C"/>
    <w:rsid w:val="00F73B25"/>
    <w:rsid w:val="00F74255"/>
    <w:rsid w:val="00F74969"/>
    <w:rsid w:val="00F74A85"/>
    <w:rsid w:val="00F7666F"/>
    <w:rsid w:val="00F767AC"/>
    <w:rsid w:val="00F804A3"/>
    <w:rsid w:val="00F80D40"/>
    <w:rsid w:val="00F8179A"/>
    <w:rsid w:val="00F81D2C"/>
    <w:rsid w:val="00F828AE"/>
    <w:rsid w:val="00F82A86"/>
    <w:rsid w:val="00F82BCC"/>
    <w:rsid w:val="00F83480"/>
    <w:rsid w:val="00F836F4"/>
    <w:rsid w:val="00F84B86"/>
    <w:rsid w:val="00F86EC8"/>
    <w:rsid w:val="00F870CF"/>
    <w:rsid w:val="00F873EE"/>
    <w:rsid w:val="00F87E95"/>
    <w:rsid w:val="00F90684"/>
    <w:rsid w:val="00F90707"/>
    <w:rsid w:val="00F90773"/>
    <w:rsid w:val="00F910DB"/>
    <w:rsid w:val="00F91188"/>
    <w:rsid w:val="00F911E7"/>
    <w:rsid w:val="00F91293"/>
    <w:rsid w:val="00F918F9"/>
    <w:rsid w:val="00F91B7B"/>
    <w:rsid w:val="00F9234F"/>
    <w:rsid w:val="00F92577"/>
    <w:rsid w:val="00F925EB"/>
    <w:rsid w:val="00F93913"/>
    <w:rsid w:val="00F93F69"/>
    <w:rsid w:val="00F945DD"/>
    <w:rsid w:val="00F94E85"/>
    <w:rsid w:val="00F9527B"/>
    <w:rsid w:val="00F95447"/>
    <w:rsid w:val="00F9635E"/>
    <w:rsid w:val="00F96524"/>
    <w:rsid w:val="00F971DC"/>
    <w:rsid w:val="00F9748C"/>
    <w:rsid w:val="00F97C17"/>
    <w:rsid w:val="00FA0467"/>
    <w:rsid w:val="00FA08DC"/>
    <w:rsid w:val="00FA11CF"/>
    <w:rsid w:val="00FA1815"/>
    <w:rsid w:val="00FA1C5D"/>
    <w:rsid w:val="00FA27B2"/>
    <w:rsid w:val="00FA453D"/>
    <w:rsid w:val="00FA460D"/>
    <w:rsid w:val="00FA4EFA"/>
    <w:rsid w:val="00FA5182"/>
    <w:rsid w:val="00FA5C40"/>
    <w:rsid w:val="00FA6233"/>
    <w:rsid w:val="00FA62E7"/>
    <w:rsid w:val="00FA661E"/>
    <w:rsid w:val="00FA6CAE"/>
    <w:rsid w:val="00FA70F2"/>
    <w:rsid w:val="00FA739E"/>
    <w:rsid w:val="00FA7569"/>
    <w:rsid w:val="00FA7CE7"/>
    <w:rsid w:val="00FA7EEF"/>
    <w:rsid w:val="00FB0B5A"/>
    <w:rsid w:val="00FB1579"/>
    <w:rsid w:val="00FB1A27"/>
    <w:rsid w:val="00FB1BBE"/>
    <w:rsid w:val="00FB1D76"/>
    <w:rsid w:val="00FB2398"/>
    <w:rsid w:val="00FB3B76"/>
    <w:rsid w:val="00FB3F41"/>
    <w:rsid w:val="00FB49E3"/>
    <w:rsid w:val="00FB4A62"/>
    <w:rsid w:val="00FB5245"/>
    <w:rsid w:val="00FB579C"/>
    <w:rsid w:val="00FB6DA4"/>
    <w:rsid w:val="00FB75CE"/>
    <w:rsid w:val="00FB7ED7"/>
    <w:rsid w:val="00FC017E"/>
    <w:rsid w:val="00FC07F0"/>
    <w:rsid w:val="00FC098F"/>
    <w:rsid w:val="00FC0A37"/>
    <w:rsid w:val="00FC0FED"/>
    <w:rsid w:val="00FC19AB"/>
    <w:rsid w:val="00FC19DA"/>
    <w:rsid w:val="00FC1A17"/>
    <w:rsid w:val="00FC1E7E"/>
    <w:rsid w:val="00FC2660"/>
    <w:rsid w:val="00FC2B1C"/>
    <w:rsid w:val="00FC32E1"/>
    <w:rsid w:val="00FC3495"/>
    <w:rsid w:val="00FC4727"/>
    <w:rsid w:val="00FC4D80"/>
    <w:rsid w:val="00FC67E5"/>
    <w:rsid w:val="00FC6C42"/>
    <w:rsid w:val="00FD0180"/>
    <w:rsid w:val="00FD03FE"/>
    <w:rsid w:val="00FD052E"/>
    <w:rsid w:val="00FD0583"/>
    <w:rsid w:val="00FD16C5"/>
    <w:rsid w:val="00FD2578"/>
    <w:rsid w:val="00FD2F0C"/>
    <w:rsid w:val="00FD37DA"/>
    <w:rsid w:val="00FD3873"/>
    <w:rsid w:val="00FD3D50"/>
    <w:rsid w:val="00FD47FE"/>
    <w:rsid w:val="00FD498C"/>
    <w:rsid w:val="00FD4CC9"/>
    <w:rsid w:val="00FD5934"/>
    <w:rsid w:val="00FD5AB4"/>
    <w:rsid w:val="00FD6043"/>
    <w:rsid w:val="00FD6263"/>
    <w:rsid w:val="00FD73AE"/>
    <w:rsid w:val="00FD78CB"/>
    <w:rsid w:val="00FD7A2C"/>
    <w:rsid w:val="00FD7B77"/>
    <w:rsid w:val="00FD7D61"/>
    <w:rsid w:val="00FE0048"/>
    <w:rsid w:val="00FE0C65"/>
    <w:rsid w:val="00FE0FE5"/>
    <w:rsid w:val="00FE11C9"/>
    <w:rsid w:val="00FE13AB"/>
    <w:rsid w:val="00FE163C"/>
    <w:rsid w:val="00FE2121"/>
    <w:rsid w:val="00FE235E"/>
    <w:rsid w:val="00FE23C3"/>
    <w:rsid w:val="00FE3387"/>
    <w:rsid w:val="00FE373D"/>
    <w:rsid w:val="00FE38EC"/>
    <w:rsid w:val="00FE3D5D"/>
    <w:rsid w:val="00FE5A23"/>
    <w:rsid w:val="00FE5F35"/>
    <w:rsid w:val="00FE6040"/>
    <w:rsid w:val="00FE663A"/>
    <w:rsid w:val="00FE67F3"/>
    <w:rsid w:val="00FE67F4"/>
    <w:rsid w:val="00FE6FD2"/>
    <w:rsid w:val="00FE726B"/>
    <w:rsid w:val="00FE7384"/>
    <w:rsid w:val="00FE795F"/>
    <w:rsid w:val="00FF1343"/>
    <w:rsid w:val="00FF13EC"/>
    <w:rsid w:val="00FF187F"/>
    <w:rsid w:val="00FF1EE9"/>
    <w:rsid w:val="00FF2200"/>
    <w:rsid w:val="00FF2339"/>
    <w:rsid w:val="00FF2C46"/>
    <w:rsid w:val="00FF3862"/>
    <w:rsid w:val="00FF3BE3"/>
    <w:rsid w:val="00FF432D"/>
    <w:rsid w:val="00FF4417"/>
    <w:rsid w:val="00FF47E8"/>
    <w:rsid w:val="00FF49D8"/>
    <w:rsid w:val="00FF4B4F"/>
    <w:rsid w:val="00FF4FAE"/>
    <w:rsid w:val="00FF5415"/>
    <w:rsid w:val="00FF57F9"/>
    <w:rsid w:val="00FF6026"/>
    <w:rsid w:val="00FF604E"/>
    <w:rsid w:val="00FF61B5"/>
    <w:rsid w:val="00FF6615"/>
    <w:rsid w:val="00FF6A58"/>
    <w:rsid w:val="00FF6E27"/>
    <w:rsid w:val="00FF7129"/>
    <w:rsid w:val="00FF731F"/>
    <w:rsid w:val="00FF7DC2"/>
    <w:rsid w:val="22C24A6D"/>
    <w:rsid w:val="31D3789E"/>
    <w:rsid w:val="4F7E1F81"/>
    <w:rsid w:val="76502C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7654B"/>
  <w15:docId w15:val="{E818AB7E-A3CF-433A-ABA0-CE6D4A460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iPriority="0" w:qFormat="1"/>
    <w:lsdException w:name="index 2" w:semiHidden="1" w:uiPriority="0" w:qFormat="1"/>
    <w:lsdException w:name="index 3" w:semiHidden="1" w:uiPriority="0" w:qFormat="1"/>
    <w:lsdException w:name="index 4" w:semiHidden="1" w:uiPriority="0" w:qFormat="1"/>
    <w:lsdException w:name="index 5" w:semiHidden="1" w:uiPriority="0" w:qFormat="1"/>
    <w:lsdException w:name="index 6" w:semiHidden="1" w:uiPriority="0" w:qFormat="1"/>
    <w:lsdException w:name="index 7" w:semiHidden="1" w:uiPriority="0" w:qFormat="1"/>
    <w:lsdException w:name="index 8" w:semiHidden="1" w:uiPriority="0" w:qFormat="1"/>
    <w:lsdException w:name="index 9" w:semiHidden="1" w:uiPriority="0" w:qFormat="1"/>
    <w:lsdException w:name="toc 1" w:uiPriority="1" w:unhideWhenUsed="1" w:qFormat="1"/>
    <w:lsdException w:name="toc 2" w:uiPriority="1" w:unhideWhenUsed="1" w:qFormat="1"/>
    <w:lsdException w:name="toc 3" w:uiPriority="39" w:unhideWhenUsed="1" w:qFormat="1"/>
    <w:lsdException w:name="toc 4" w:uiPriority="39" w:unhideWhenUsed="1" w:qFormat="1"/>
    <w:lsdException w:name="toc 5" w:uiPriority="39" w:unhideWhenUsed="1" w:qFormat="1"/>
    <w:lsdException w:name="toc 6" w:uiPriority="0" w:unhideWhenUsed="1" w:qFormat="1"/>
    <w:lsdException w:name="toc 7" w:uiPriority="0" w:unhideWhenUsed="1" w:qFormat="1"/>
    <w:lsdException w:name="toc 8" w:uiPriority="0" w:unhideWhenUsed="1" w:qFormat="1"/>
    <w:lsdException w:name="toc 9" w:uiPriority="0" w:unhideWhenUsed="1" w:qFormat="1"/>
    <w:lsdException w:name="Normal Indent" w:uiPriority="0" w:qFormat="1"/>
    <w:lsdException w:name="footnote text" w:uiPriority="0" w:unhideWhenUsed="1" w:qFormat="1"/>
    <w:lsdException w:name="annotation text" w:unhideWhenUsed="1" w:qFormat="1"/>
    <w:lsdException w:name="header" w:unhideWhenUsed="1" w:qFormat="1"/>
    <w:lsdException w:name="footer" w:unhideWhenUsed="1" w:qFormat="1"/>
    <w:lsdException w:name="index heading" w:semiHidden="1" w:uiPriority="0" w:qFormat="1"/>
    <w:lsdException w:name="caption" w:uiPriority="35" w:qFormat="1"/>
    <w:lsdException w:name="table of figures" w:unhideWhenUsed="1" w:qFormat="1"/>
    <w:lsdException w:name="envelope address" w:uiPriority="0" w:qFormat="1"/>
    <w:lsdException w:name="envelope return" w:uiPriority="0" w:qFormat="1"/>
    <w:lsdException w:name="footnote reference" w:unhideWhenUsed="1" w:qFormat="1"/>
    <w:lsdException w:name="annotation reference" w:unhideWhenUsed="1" w:qFormat="1"/>
    <w:lsdException w:name="line number" w:unhideWhenUsed="1" w:qFormat="1"/>
    <w:lsdException w:name="page number" w:uiPriority="0" w:qFormat="1"/>
    <w:lsdException w:name="endnote reference" w:semiHidden="1" w:uiPriority="0" w:unhideWhenUsed="1" w:qFormat="1"/>
    <w:lsdException w:name="endnote text" w:uiPriority="0" w:unhideWhenUsed="1" w:qFormat="1"/>
    <w:lsdException w:name="table of authorities" w:semiHidden="1" w:uiPriority="0" w:qFormat="1"/>
    <w:lsdException w:name="macro" w:semiHidden="1" w:uiPriority="0" w:qFormat="1"/>
    <w:lsdException w:name="toa heading" w:semiHidden="1" w:uiPriority="0" w:qFormat="1"/>
    <w:lsdException w:name="List" w:uiPriority="0" w:unhideWhenUsed="1" w:qFormat="1"/>
    <w:lsdException w:name="List Bullet" w:uiPriority="0" w:qFormat="1"/>
    <w:lsdException w:name="List Number" w:uiPriority="0" w:qFormat="1"/>
    <w:lsdException w:name="List 2" w:uiPriority="0" w:unhideWhenUsed="1" w:qFormat="1"/>
    <w:lsdException w:name="List 3" w:uiPriority="0" w:unhideWhenUsed="1" w:qFormat="1"/>
    <w:lsdException w:name="List 4" w:uiPriority="0" w:qFormat="1"/>
    <w:lsdException w:name="List 5" w:uiPriority="0" w:qFormat="1"/>
    <w:lsdException w:name="List Bullet 2" w:uiPriority="0" w:qFormat="1"/>
    <w:lsdException w:name="List Bullet 3" w:uiPriority="0" w:qFormat="1"/>
    <w:lsdException w:name="List Bullet 4" w:uiPriority="0" w:qFormat="1"/>
    <w:lsdException w:name="List Bullet 5" w:uiPriority="0" w:qFormat="1"/>
    <w:lsdException w:name="List Number 2" w:uiPriority="0" w:unhideWhenUsed="1" w:qFormat="1"/>
    <w:lsdException w:name="List Number 3" w:uiPriority="0" w:qFormat="1"/>
    <w:lsdException w:name="List Number 4" w:uiPriority="0" w:qFormat="1"/>
    <w:lsdException w:name="List Number 5" w:uiPriority="0" w:qFormat="1"/>
    <w:lsdException w:name="Title" w:uiPriority="10" w:qFormat="1"/>
    <w:lsdException w:name="Closing" w:uiPriority="0" w:qFormat="1"/>
    <w:lsdException w:name="Signature" w:uiPriority="0" w:qFormat="1"/>
    <w:lsdException w:name="Default Paragraph Font" w:semiHidden="1" w:uiPriority="1" w:unhideWhenUsed="1" w:qFormat="1"/>
    <w:lsdException w:name="Body Text" w:uiPriority="0" w:qFormat="1"/>
    <w:lsdException w:name="Body Text Indent" w:uiPriority="0" w:unhideWhenUsed="1" w:qFormat="1"/>
    <w:lsdException w:name="List Continue" w:uiPriority="0" w:qFormat="1"/>
    <w:lsdException w:name="List Continue 2" w:uiPriority="0" w:qFormat="1"/>
    <w:lsdException w:name="List Continue 3" w:uiPriority="0" w:qFormat="1"/>
    <w:lsdException w:name="List Continue 4" w:uiPriority="0" w:qFormat="1"/>
    <w:lsdException w:name="List Continue 5" w:uiPriority="0" w:qFormat="1"/>
    <w:lsdException w:name="Message Header" w:uiPriority="0" w:qFormat="1"/>
    <w:lsdException w:name="Subtitle" w:uiPriority="11" w:qFormat="1"/>
    <w:lsdException w:name="Salutation" w:uiPriority="0" w:qFormat="1"/>
    <w:lsdException w:name="Date" w:unhideWhenUsed="1" w:qFormat="1"/>
    <w:lsdException w:name="Body Text First Indent" w:uiPriority="0" w:unhideWhenUsed="1" w:qFormat="1"/>
    <w:lsdException w:name="Body Text First Indent 2" w:uiPriority="0" w:qFormat="1"/>
    <w:lsdException w:name="Note Heading" w:uiPriority="0" w:qFormat="1"/>
    <w:lsdException w:name="Body Text 2" w:uiPriority="0" w:unhideWhenUsed="1" w:qFormat="1"/>
    <w:lsdException w:name="Body Text 3" w:uiPriority="0" w:unhideWhenUsed="1" w:qFormat="1"/>
    <w:lsdException w:name="Body Text Indent 2" w:uiPriority="0" w:qFormat="1"/>
    <w:lsdException w:name="Body Text Indent 3" w:unhideWhenUsed="1" w:qFormat="1"/>
    <w:lsdException w:name="Block Text" w:uiPriority="0" w:qFormat="1"/>
    <w:lsdException w:name="Hyperlink" w:unhideWhenUsed="1" w:qFormat="1"/>
    <w:lsdException w:name="FollowedHyperlink" w:uiPriority="0" w:unhideWhenUsed="1" w:qFormat="1"/>
    <w:lsdException w:name="Strong" w:uiPriority="22" w:qFormat="1"/>
    <w:lsdException w:name="Emphasis" w:uiPriority="20" w:qFormat="1"/>
    <w:lsdException w:name="Document Map" w:semiHidden="1" w:uiPriority="0" w:unhideWhenUsed="1" w:qFormat="1"/>
    <w:lsdException w:name="Plain Text" w:uiPriority="0"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qFormat="1"/>
    <w:lsdException w:name="No Spacing" w:uiPriority="1" w:qFormat="1"/>
    <w:lsdException w:name="Light Shading" w:qFormat="1"/>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0" w:qFormat="1"/>
    <w:lsdException w:name="Colorful Grid" w:uiPriority="0"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qFormat="1"/>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qFormat="1"/>
    <w:lsdException w:name="Medium Shading 2 Accent 5" w:uiPriority="64" w:qFormat="1"/>
    <w:lsdException w:name="Medium List 1 Accent 5" w:uiPriority="65" w:qFormat="1"/>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62" w:qFormat="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qFormat="1"/>
    <w:lsdException w:name="Medium List 1 Accent 6" w:uiPriority="0" w:qFormat="1"/>
    <w:lsdException w:name="Medium List 2 Accent 6" w:uiPriority="0" w:qFormat="1"/>
    <w:lsdException w:name="Medium Grid 1 Accent 6" w:uiPriority="0" w:qFormat="1"/>
    <w:lsdException w:name="Medium Grid 2 Accent 6" w:uiPriority="0" w:qFormat="1"/>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MS Mincho" w:hAnsiTheme="minorHAnsi" w:cstheme="minorBidi"/>
      <w:sz w:val="22"/>
      <w:szCs w:val="22"/>
    </w:rPr>
  </w:style>
  <w:style w:type="paragraph" w:styleId="Heading1">
    <w:name w:val="heading 1"/>
    <w:aliases w:val="Heading 1 Proposal,JICT- Heading 1"/>
    <w:basedOn w:val="Normal"/>
    <w:next w:val="Normal"/>
    <w:link w:val="Heading1Char"/>
    <w:uiPriority w:val="9"/>
    <w:qFormat/>
    <w:pPr>
      <w:keepNext/>
      <w:keepLines/>
      <w:spacing w:before="480" w:after="0" w:line="480" w:lineRule="auto"/>
      <w:ind w:firstLine="360"/>
      <w:outlineLvl w:val="0"/>
    </w:pPr>
    <w:rPr>
      <w:rFonts w:asciiTheme="majorHAnsi" w:eastAsiaTheme="majorEastAsia" w:hAnsiTheme="majorHAnsi" w:cstheme="majorBidi"/>
      <w:b/>
      <w:bCs/>
      <w:color w:val="2F5496" w:themeColor="accent1" w:themeShade="BF"/>
      <w:sz w:val="28"/>
      <w:szCs w:val="28"/>
      <w:lang w:bidi="en-US"/>
    </w:rPr>
  </w:style>
  <w:style w:type="paragraph" w:styleId="Heading2">
    <w:name w:val="heading 2"/>
    <w:aliases w:val="JICT-Heading 2"/>
    <w:basedOn w:val="Normal"/>
    <w:next w:val="Normal"/>
    <w:link w:val="Heading2Char"/>
    <w:uiPriority w:val="9"/>
    <w:unhideWhenUsed/>
    <w:qFormat/>
    <w:pPr>
      <w:keepNext/>
      <w:keepLines/>
      <w:spacing w:before="200" w:after="0" w:line="480" w:lineRule="auto"/>
      <w:ind w:firstLine="360"/>
      <w:outlineLvl w:val="1"/>
    </w:pPr>
    <w:rPr>
      <w:rFonts w:asciiTheme="majorHAnsi" w:eastAsiaTheme="majorEastAsia" w:hAnsiTheme="majorHAnsi" w:cstheme="majorBidi"/>
      <w:b/>
      <w:bCs/>
      <w:color w:val="4472C4" w:themeColor="accent1"/>
      <w:sz w:val="26"/>
      <w:szCs w:val="26"/>
      <w:lang w:bidi="en-US"/>
    </w:rPr>
  </w:style>
  <w:style w:type="paragraph" w:styleId="Heading3">
    <w:name w:val="heading 3"/>
    <w:basedOn w:val="Normal"/>
    <w:next w:val="Normal"/>
    <w:link w:val="Heading3Char"/>
    <w:uiPriority w:val="9"/>
    <w:unhideWhenUsed/>
    <w:qFormat/>
    <w:pPr>
      <w:spacing w:before="320" w:after="0" w:line="360" w:lineRule="auto"/>
      <w:outlineLvl w:val="2"/>
    </w:pPr>
    <w:rPr>
      <w:rFonts w:ascii="Arial" w:eastAsia="Times New Roman" w:hAnsi="Arial" w:cs="Arial"/>
      <w:b/>
      <w:bCs/>
      <w:i/>
      <w:iCs/>
      <w:sz w:val="26"/>
      <w:szCs w:val="26"/>
      <w:lang w:bidi="en-US"/>
    </w:rPr>
  </w:style>
  <w:style w:type="paragraph" w:styleId="Heading4">
    <w:name w:val="heading 4"/>
    <w:basedOn w:val="Normal"/>
    <w:next w:val="Normal"/>
    <w:link w:val="Heading4Char"/>
    <w:uiPriority w:val="9"/>
    <w:unhideWhenUsed/>
    <w:qFormat/>
    <w:pPr>
      <w:keepNext/>
      <w:keepLines/>
      <w:spacing w:before="200" w:after="0" w:line="480" w:lineRule="auto"/>
      <w:ind w:firstLine="360"/>
      <w:outlineLvl w:val="3"/>
    </w:pPr>
    <w:rPr>
      <w:rFonts w:asciiTheme="majorHAnsi" w:eastAsiaTheme="majorEastAsia" w:hAnsiTheme="majorHAnsi" w:cstheme="majorBidi"/>
      <w:b/>
      <w:bCs/>
      <w:i/>
      <w:iCs/>
      <w:color w:val="4472C4" w:themeColor="accent1"/>
      <w:lang w:bidi="en-US"/>
    </w:rPr>
  </w:style>
  <w:style w:type="paragraph" w:styleId="Heading5">
    <w:name w:val="heading 5"/>
    <w:basedOn w:val="Normal"/>
    <w:link w:val="Heading5Char"/>
    <w:uiPriority w:val="9"/>
    <w:qFormat/>
    <w:pPr>
      <w:spacing w:before="100" w:beforeAutospacing="1" w:after="100" w:afterAutospacing="1"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pPr>
      <w:keepNext/>
      <w:keepLines/>
      <w:spacing w:before="200" w:after="40" w:line="240" w:lineRule="auto"/>
      <w:jc w:val="both"/>
      <w:outlineLvl w:val="5"/>
    </w:pPr>
    <w:rPr>
      <w:rFonts w:ascii="Times New Roman" w:eastAsia="Calibri" w:hAnsi="Times New Roman" w:cs="Calibri"/>
      <w:b/>
      <w:sz w:val="20"/>
      <w:szCs w:val="20"/>
      <w:lang w:val="en-GB" w:eastAsia="en-MY"/>
    </w:rPr>
  </w:style>
  <w:style w:type="paragraph" w:styleId="Heading7">
    <w:name w:val="heading 7"/>
    <w:basedOn w:val="Normal"/>
    <w:next w:val="Normal"/>
    <w:link w:val="Heading7Char"/>
    <w:uiPriority w:val="9"/>
    <w:unhideWhenUsed/>
    <w:qFormat/>
    <w:pPr>
      <w:spacing w:before="240" w:after="60" w:line="276"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unhideWhenUsed/>
    <w:qFormat/>
    <w:pPr>
      <w:keepNext/>
      <w:keepLines/>
      <w:spacing w:before="200" w:after="0" w:line="360" w:lineRule="auto"/>
      <w:jc w:val="both"/>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unhideWhenUsed/>
    <w:qFormat/>
    <w:pPr>
      <w:keepNext/>
      <w:keepLines/>
      <w:spacing w:before="200" w:after="0" w:line="360" w:lineRule="auto"/>
      <w:jc w:val="both"/>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semiHidden/>
    <w:qFormat/>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eastAsia="Times New Roman" w:hAnsi="Courier New"/>
      <w:lang w:val="en-GB"/>
    </w:rPr>
  </w:style>
  <w:style w:type="paragraph" w:styleId="List3">
    <w:name w:val="List 3"/>
    <w:basedOn w:val="Normal"/>
    <w:unhideWhenUsed/>
    <w:qFormat/>
    <w:pPr>
      <w:ind w:left="849" w:hanging="283"/>
      <w:contextualSpacing/>
    </w:pPr>
    <w:rPr>
      <w:rFonts w:ascii="Calibri" w:eastAsia="Calibri" w:hAnsi="Calibri" w:cs="Times New Roman"/>
      <w:lang w:val="en-GB"/>
    </w:rPr>
  </w:style>
  <w:style w:type="paragraph" w:styleId="TOC7">
    <w:name w:val="toc 7"/>
    <w:basedOn w:val="Normal"/>
    <w:next w:val="Normal"/>
    <w:autoRedefine/>
    <w:unhideWhenUsed/>
    <w:qFormat/>
    <w:pPr>
      <w:spacing w:after="0" w:line="276" w:lineRule="auto"/>
      <w:ind w:left="1320"/>
    </w:pPr>
    <w:rPr>
      <w:rFonts w:ascii="Calibri" w:eastAsia="Calibri" w:hAnsi="Calibri" w:cs="Times New Roman"/>
      <w:sz w:val="18"/>
      <w:szCs w:val="18"/>
    </w:rPr>
  </w:style>
  <w:style w:type="paragraph" w:styleId="ListNumber2">
    <w:name w:val="List Number 2"/>
    <w:basedOn w:val="Normal"/>
    <w:unhideWhenUsed/>
    <w:qFormat/>
    <w:pPr>
      <w:numPr>
        <w:numId w:val="1"/>
      </w:numPr>
      <w:tabs>
        <w:tab w:val="clear" w:pos="643"/>
        <w:tab w:val="left" w:pos="720"/>
      </w:tabs>
      <w:autoSpaceDE w:val="0"/>
      <w:autoSpaceDN w:val="0"/>
      <w:adjustRightInd w:val="0"/>
      <w:spacing w:after="100" w:afterAutospacing="1" w:line="480" w:lineRule="auto"/>
      <w:ind w:left="720" w:hanging="720"/>
      <w:contextualSpacing/>
      <w:jc w:val="both"/>
    </w:pPr>
    <w:rPr>
      <w:rFonts w:ascii="Times New Roman" w:eastAsia="SimSun" w:hAnsi="Times New Roman" w:cs="Times New Roman"/>
      <w:sz w:val="24"/>
      <w:szCs w:val="24"/>
      <w:lang w:eastAsia="en-AU"/>
    </w:rPr>
  </w:style>
  <w:style w:type="paragraph" w:styleId="TableofAuthorities">
    <w:name w:val="table of authorities"/>
    <w:basedOn w:val="Normal"/>
    <w:next w:val="Normal"/>
    <w:semiHidden/>
    <w:qFormat/>
    <w:pPr>
      <w:spacing w:after="0" w:line="240" w:lineRule="auto"/>
      <w:ind w:left="240" w:hanging="240"/>
      <w:jc w:val="both"/>
    </w:pPr>
    <w:rPr>
      <w:rFonts w:ascii="Times New Roman" w:eastAsia="Times New Roman" w:hAnsi="Times New Roman" w:cs="Times New Roman"/>
      <w:sz w:val="24"/>
      <w:szCs w:val="20"/>
      <w:lang w:val="en-GB"/>
    </w:rPr>
  </w:style>
  <w:style w:type="paragraph" w:styleId="NoteHeading">
    <w:name w:val="Note Heading"/>
    <w:basedOn w:val="Normal"/>
    <w:next w:val="Normal"/>
    <w:link w:val="NoteHeadingChar"/>
    <w:qFormat/>
    <w:pPr>
      <w:spacing w:after="0" w:line="240" w:lineRule="auto"/>
      <w:ind w:firstLine="567"/>
      <w:jc w:val="both"/>
    </w:pPr>
    <w:rPr>
      <w:rFonts w:ascii="Times New Roman" w:eastAsia="Times New Roman" w:hAnsi="Times New Roman" w:cs="Times New Roman"/>
      <w:sz w:val="24"/>
      <w:szCs w:val="20"/>
      <w:lang w:val="en-GB"/>
    </w:rPr>
  </w:style>
  <w:style w:type="paragraph" w:styleId="ListBullet4">
    <w:name w:val="List Bullet 4"/>
    <w:basedOn w:val="Normal"/>
    <w:qFormat/>
    <w:pPr>
      <w:spacing w:after="0" w:line="240" w:lineRule="auto"/>
      <w:jc w:val="both"/>
    </w:pPr>
    <w:rPr>
      <w:rFonts w:ascii="Times New Roman" w:eastAsia="Times New Roman" w:hAnsi="Times New Roman" w:cs="Times New Roman"/>
      <w:sz w:val="24"/>
      <w:szCs w:val="20"/>
      <w:lang w:val="en-GB"/>
    </w:rPr>
  </w:style>
  <w:style w:type="paragraph" w:styleId="Index8">
    <w:name w:val="index 8"/>
    <w:basedOn w:val="Normal"/>
    <w:next w:val="Normal"/>
    <w:semiHidden/>
    <w:qFormat/>
    <w:pPr>
      <w:spacing w:after="0" w:line="240" w:lineRule="auto"/>
      <w:ind w:left="1920" w:hanging="240"/>
      <w:jc w:val="both"/>
    </w:pPr>
    <w:rPr>
      <w:rFonts w:ascii="Times New Roman" w:eastAsia="Times New Roman" w:hAnsi="Times New Roman" w:cs="Times New Roman"/>
      <w:sz w:val="24"/>
      <w:szCs w:val="20"/>
      <w:lang w:val="en-GB"/>
    </w:rPr>
  </w:style>
  <w:style w:type="paragraph" w:styleId="E-mailSignature">
    <w:name w:val="E-mail Signature"/>
    <w:basedOn w:val="Normal"/>
    <w:link w:val="E-mailSignatureChar"/>
    <w:uiPriority w:val="99"/>
    <w:semiHidden/>
    <w:unhideWhenUsed/>
    <w:qFormat/>
    <w:pPr>
      <w:spacing w:after="120" w:line="240" w:lineRule="auto"/>
      <w:jc w:val="both"/>
    </w:pPr>
    <w:rPr>
      <w:rFonts w:ascii="Times New Roman" w:eastAsia="SimSun" w:hAnsi="Times New Roman" w:cs="Times New Roman"/>
      <w:sz w:val="24"/>
      <w:szCs w:val="24"/>
      <w:lang w:val="en-MY"/>
    </w:rPr>
  </w:style>
  <w:style w:type="paragraph" w:styleId="ListNumber">
    <w:name w:val="List Number"/>
    <w:basedOn w:val="Normal"/>
    <w:qFormat/>
    <w:pPr>
      <w:tabs>
        <w:tab w:val="left" w:pos="360"/>
      </w:tabs>
      <w:spacing w:after="0" w:line="240" w:lineRule="auto"/>
      <w:ind w:left="720" w:hanging="153"/>
      <w:jc w:val="both"/>
    </w:pPr>
    <w:rPr>
      <w:rFonts w:ascii="Times New Roman" w:eastAsia="Times New Roman" w:hAnsi="Times New Roman" w:cs="Times New Roman"/>
      <w:sz w:val="24"/>
      <w:szCs w:val="20"/>
      <w:lang w:val="en-GB"/>
    </w:rPr>
  </w:style>
  <w:style w:type="paragraph" w:styleId="NormalIndent">
    <w:name w:val="Normal Indent"/>
    <w:basedOn w:val="Normal"/>
    <w:qFormat/>
    <w:pPr>
      <w:spacing w:after="0" w:line="240" w:lineRule="auto"/>
      <w:ind w:left="720"/>
    </w:pPr>
    <w:rPr>
      <w:rFonts w:ascii="Arial Narrow" w:eastAsia="Times New Roman" w:hAnsi="Arial Narrow" w:cs="Times New Roman"/>
      <w:sz w:val="20"/>
      <w:szCs w:val="20"/>
      <w:lang w:val="en-GB"/>
    </w:rPr>
  </w:style>
  <w:style w:type="paragraph" w:styleId="Caption">
    <w:name w:val="caption"/>
    <w:basedOn w:val="Normal"/>
    <w:next w:val="Normal"/>
    <w:link w:val="CaptionChar"/>
    <w:uiPriority w:val="35"/>
    <w:qFormat/>
    <w:pPr>
      <w:keepNext/>
      <w:spacing w:after="200" w:line="480" w:lineRule="auto"/>
    </w:pPr>
    <w:rPr>
      <w:rFonts w:ascii="Times New Roman" w:eastAsia="Times New Roman" w:hAnsi="Times New Roman" w:cs="Times New Roman"/>
      <w:b/>
      <w:bCs/>
    </w:rPr>
  </w:style>
  <w:style w:type="paragraph" w:styleId="Index5">
    <w:name w:val="index 5"/>
    <w:basedOn w:val="Normal"/>
    <w:next w:val="Normal"/>
    <w:semiHidden/>
    <w:qFormat/>
    <w:pPr>
      <w:spacing w:after="0" w:line="240" w:lineRule="auto"/>
      <w:ind w:left="1200" w:hanging="240"/>
      <w:jc w:val="both"/>
    </w:pPr>
    <w:rPr>
      <w:rFonts w:ascii="Times New Roman" w:eastAsia="Times New Roman" w:hAnsi="Times New Roman" w:cs="Times New Roman"/>
      <w:sz w:val="24"/>
      <w:szCs w:val="20"/>
      <w:lang w:val="en-GB"/>
    </w:rPr>
  </w:style>
  <w:style w:type="paragraph" w:styleId="ListBullet">
    <w:name w:val="List Bullet"/>
    <w:basedOn w:val="Normal"/>
    <w:qFormat/>
    <w:pPr>
      <w:numPr>
        <w:numId w:val="2"/>
      </w:numPr>
      <w:tabs>
        <w:tab w:val="left" w:pos="360"/>
      </w:tabs>
      <w:spacing w:after="0" w:line="240" w:lineRule="auto"/>
      <w:jc w:val="both"/>
    </w:pPr>
    <w:rPr>
      <w:rFonts w:ascii="Times New Roman" w:eastAsia="Times New Roman" w:hAnsi="Times New Roman" w:cs="Times New Roman"/>
      <w:sz w:val="24"/>
      <w:szCs w:val="20"/>
      <w:lang w:val="en-GB"/>
    </w:rPr>
  </w:style>
  <w:style w:type="paragraph" w:styleId="EnvelopeAddress">
    <w:name w:val="envelope address"/>
    <w:basedOn w:val="Normal"/>
    <w:qFormat/>
    <w:pPr>
      <w:framePr w:w="7920" w:h="1980" w:hRule="exact" w:hSpace="180" w:wrap="auto" w:hAnchor="page" w:xAlign="center" w:yAlign="bottom"/>
      <w:spacing w:after="0" w:line="240" w:lineRule="auto"/>
      <w:ind w:left="2880" w:firstLine="567"/>
      <w:jc w:val="both"/>
    </w:pPr>
    <w:rPr>
      <w:rFonts w:ascii="Arial" w:eastAsia="Times New Roman" w:hAnsi="Arial" w:cs="Times New Roman"/>
      <w:sz w:val="24"/>
      <w:szCs w:val="20"/>
      <w:lang w:val="en-GB"/>
    </w:rPr>
  </w:style>
  <w:style w:type="paragraph" w:styleId="DocumentMap">
    <w:name w:val="Document Map"/>
    <w:basedOn w:val="Normal"/>
    <w:link w:val="DocumentMapChar"/>
    <w:semiHidden/>
    <w:unhideWhenUsed/>
    <w:qFormat/>
    <w:pPr>
      <w:spacing w:after="0" w:line="240" w:lineRule="auto"/>
    </w:pPr>
    <w:rPr>
      <w:rFonts w:ascii="Times New Roman" w:hAnsi="Times New Roman" w:cs="Times New Roman"/>
      <w:sz w:val="24"/>
      <w:szCs w:val="24"/>
      <w:lang w:val="en-MY"/>
    </w:rPr>
  </w:style>
  <w:style w:type="paragraph" w:styleId="TOAHeading">
    <w:name w:val="toa heading"/>
    <w:basedOn w:val="Normal"/>
    <w:next w:val="Normal"/>
    <w:semiHidden/>
    <w:qFormat/>
    <w:pPr>
      <w:spacing w:before="120" w:after="0" w:line="240" w:lineRule="auto"/>
      <w:ind w:firstLine="567"/>
      <w:jc w:val="both"/>
    </w:pPr>
    <w:rPr>
      <w:rFonts w:ascii="Arial" w:eastAsia="Times New Roman" w:hAnsi="Arial" w:cs="Times New Roman"/>
      <w:b/>
      <w:sz w:val="24"/>
      <w:szCs w:val="20"/>
      <w:lang w:val="en-GB"/>
    </w:rPr>
  </w:style>
  <w:style w:type="paragraph" w:styleId="CommentText">
    <w:name w:val="annotation text"/>
    <w:basedOn w:val="Normal"/>
    <w:link w:val="CommentTextChar"/>
    <w:uiPriority w:val="99"/>
    <w:unhideWhenUsed/>
    <w:qFormat/>
    <w:pPr>
      <w:bidi/>
      <w:spacing w:after="200" w:line="276" w:lineRule="auto"/>
    </w:pPr>
  </w:style>
  <w:style w:type="paragraph" w:styleId="Index6">
    <w:name w:val="index 6"/>
    <w:basedOn w:val="Normal"/>
    <w:next w:val="Normal"/>
    <w:semiHidden/>
    <w:qFormat/>
    <w:pPr>
      <w:spacing w:after="0" w:line="240" w:lineRule="auto"/>
      <w:ind w:left="1440" w:hanging="240"/>
      <w:jc w:val="both"/>
    </w:pPr>
    <w:rPr>
      <w:rFonts w:ascii="Times New Roman" w:eastAsia="Times New Roman" w:hAnsi="Times New Roman" w:cs="Times New Roman"/>
      <w:sz w:val="24"/>
      <w:szCs w:val="20"/>
      <w:lang w:val="en-GB"/>
    </w:rPr>
  </w:style>
  <w:style w:type="paragraph" w:styleId="Salutation">
    <w:name w:val="Salutation"/>
    <w:basedOn w:val="Normal"/>
    <w:next w:val="Normal"/>
    <w:link w:val="SalutationChar"/>
    <w:qFormat/>
    <w:pPr>
      <w:spacing w:after="0" w:line="240" w:lineRule="auto"/>
      <w:ind w:firstLine="567"/>
      <w:jc w:val="both"/>
    </w:pPr>
    <w:rPr>
      <w:rFonts w:ascii="Times New Roman" w:eastAsia="Times New Roman" w:hAnsi="Times New Roman" w:cs="Times New Roman"/>
      <w:sz w:val="24"/>
      <w:szCs w:val="20"/>
      <w:lang w:val="en-GB"/>
    </w:rPr>
  </w:style>
  <w:style w:type="paragraph" w:styleId="BodyText3">
    <w:name w:val="Body Text 3"/>
    <w:aliases w:val="TABLE"/>
    <w:basedOn w:val="Normal"/>
    <w:link w:val="BodyText3Char"/>
    <w:unhideWhenUsed/>
    <w:qFormat/>
    <w:pPr>
      <w:spacing w:after="120" w:line="276" w:lineRule="auto"/>
    </w:pPr>
    <w:rPr>
      <w:rFonts w:ascii="Calibri" w:eastAsia="Times New Roman" w:hAnsi="Calibri" w:cs="Arial"/>
      <w:sz w:val="16"/>
      <w:szCs w:val="16"/>
    </w:rPr>
  </w:style>
  <w:style w:type="paragraph" w:styleId="Closing">
    <w:name w:val="Closing"/>
    <w:basedOn w:val="Normal"/>
    <w:link w:val="ClosingChar"/>
    <w:qFormat/>
    <w:pPr>
      <w:spacing w:after="0" w:line="240" w:lineRule="auto"/>
      <w:ind w:left="4252" w:firstLine="567"/>
      <w:jc w:val="both"/>
    </w:pPr>
    <w:rPr>
      <w:rFonts w:ascii="Times New Roman" w:eastAsia="Times New Roman" w:hAnsi="Times New Roman" w:cs="Times New Roman"/>
      <w:sz w:val="24"/>
      <w:szCs w:val="20"/>
      <w:lang w:val="en-GB"/>
    </w:rPr>
  </w:style>
  <w:style w:type="paragraph" w:styleId="ListBullet3">
    <w:name w:val="List Bullet 3"/>
    <w:basedOn w:val="Normal"/>
    <w:qFormat/>
    <w:pPr>
      <w:numPr>
        <w:numId w:val="3"/>
      </w:numPr>
      <w:tabs>
        <w:tab w:val="left" w:pos="926"/>
      </w:tabs>
      <w:spacing w:after="0" w:line="240" w:lineRule="auto"/>
      <w:jc w:val="both"/>
    </w:pPr>
    <w:rPr>
      <w:rFonts w:ascii="Times New Roman" w:eastAsia="Times New Roman" w:hAnsi="Times New Roman" w:cs="Times New Roman"/>
      <w:sz w:val="24"/>
      <w:szCs w:val="20"/>
      <w:lang w:val="en-GB"/>
    </w:rPr>
  </w:style>
  <w:style w:type="paragraph" w:styleId="BodyText">
    <w:name w:val="Body Text"/>
    <w:aliases w:val="正文末段"/>
    <w:basedOn w:val="Normal"/>
    <w:next w:val="Normal"/>
    <w:link w:val="BodyTextChar"/>
    <w:qFormat/>
    <w:pPr>
      <w:autoSpaceDE w:val="0"/>
      <w:autoSpaceDN w:val="0"/>
      <w:adjustRightInd w:val="0"/>
      <w:spacing w:after="0"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nhideWhenUsed/>
    <w:qFormat/>
    <w:pPr>
      <w:spacing w:after="120" w:line="240" w:lineRule="auto"/>
      <w:ind w:left="360"/>
    </w:pPr>
    <w:rPr>
      <w:rFonts w:ascii="Times New Roman" w:eastAsia="Times New Roman" w:hAnsi="Times New Roman" w:cs="Times New Roman"/>
      <w:sz w:val="28"/>
      <w:szCs w:val="28"/>
    </w:rPr>
  </w:style>
  <w:style w:type="paragraph" w:styleId="ListNumber3">
    <w:name w:val="List Number 3"/>
    <w:basedOn w:val="Normal"/>
    <w:qFormat/>
    <w:pPr>
      <w:numPr>
        <w:numId w:val="4"/>
      </w:numPr>
      <w:tabs>
        <w:tab w:val="left" w:pos="926"/>
      </w:tabs>
      <w:spacing w:after="0" w:line="240" w:lineRule="auto"/>
      <w:jc w:val="both"/>
    </w:pPr>
    <w:rPr>
      <w:rFonts w:ascii="Times New Roman" w:eastAsia="Times New Roman" w:hAnsi="Times New Roman" w:cs="Times New Roman"/>
      <w:sz w:val="24"/>
      <w:szCs w:val="20"/>
      <w:lang w:val="en-GB"/>
    </w:rPr>
  </w:style>
  <w:style w:type="paragraph" w:styleId="List2">
    <w:name w:val="List 2"/>
    <w:basedOn w:val="Normal"/>
    <w:unhideWhenUsed/>
    <w:qFormat/>
    <w:pPr>
      <w:autoSpaceDE w:val="0"/>
      <w:autoSpaceDN w:val="0"/>
      <w:adjustRightInd w:val="0"/>
      <w:spacing w:after="100" w:afterAutospacing="1" w:line="480" w:lineRule="auto"/>
      <w:ind w:left="566" w:hanging="283"/>
      <w:contextualSpacing/>
      <w:jc w:val="both"/>
    </w:pPr>
    <w:rPr>
      <w:rFonts w:ascii="Times New Roman" w:eastAsia="SimSun" w:hAnsi="Times New Roman" w:cs="Times New Roman"/>
      <w:sz w:val="24"/>
      <w:szCs w:val="24"/>
      <w:lang w:eastAsia="en-AU"/>
    </w:rPr>
  </w:style>
  <w:style w:type="paragraph" w:styleId="ListContinue">
    <w:name w:val="List Continue"/>
    <w:basedOn w:val="Normal"/>
    <w:qFormat/>
    <w:pPr>
      <w:spacing w:after="120" w:line="240" w:lineRule="auto"/>
      <w:ind w:left="283" w:firstLine="567"/>
      <w:jc w:val="both"/>
    </w:pPr>
    <w:rPr>
      <w:rFonts w:ascii="Times New Roman" w:eastAsia="Times New Roman" w:hAnsi="Times New Roman" w:cs="Times New Roman"/>
      <w:sz w:val="24"/>
      <w:szCs w:val="20"/>
      <w:lang w:val="en-GB"/>
    </w:rPr>
  </w:style>
  <w:style w:type="paragraph" w:styleId="BlockText">
    <w:name w:val="Block Text"/>
    <w:basedOn w:val="Normal"/>
    <w:qFormat/>
    <w:pPr>
      <w:spacing w:after="120" w:line="240" w:lineRule="auto"/>
      <w:ind w:left="1440" w:right="1440" w:firstLine="567"/>
      <w:jc w:val="both"/>
    </w:pPr>
    <w:rPr>
      <w:rFonts w:ascii="Times New Roman" w:eastAsia="Times New Roman" w:hAnsi="Times New Roman" w:cs="Times New Roman"/>
      <w:sz w:val="24"/>
      <w:szCs w:val="20"/>
      <w:lang w:val="en-GB"/>
    </w:rPr>
  </w:style>
  <w:style w:type="paragraph" w:styleId="ListBullet2">
    <w:name w:val="List Bullet 2"/>
    <w:basedOn w:val="Normal"/>
    <w:qFormat/>
    <w:pPr>
      <w:tabs>
        <w:tab w:val="left" w:pos="567"/>
        <w:tab w:val="left" w:pos="643"/>
      </w:tabs>
      <w:spacing w:after="0" w:line="240" w:lineRule="auto"/>
      <w:ind w:left="567" w:hanging="567"/>
      <w:jc w:val="both"/>
    </w:pPr>
    <w:rPr>
      <w:rFonts w:ascii="Times New Roman" w:eastAsia="Times New Roman" w:hAnsi="Times New Roman" w:cs="Times New Roman"/>
      <w:sz w:val="24"/>
      <w:szCs w:val="20"/>
      <w:lang w:val="en-GB"/>
    </w:rPr>
  </w:style>
  <w:style w:type="paragraph" w:styleId="Index4">
    <w:name w:val="index 4"/>
    <w:basedOn w:val="Normal"/>
    <w:next w:val="Normal"/>
    <w:semiHidden/>
    <w:qFormat/>
    <w:pPr>
      <w:spacing w:after="0" w:line="240" w:lineRule="auto"/>
      <w:ind w:left="960" w:hanging="240"/>
      <w:jc w:val="both"/>
    </w:pPr>
    <w:rPr>
      <w:rFonts w:ascii="Times New Roman" w:eastAsia="Times New Roman" w:hAnsi="Times New Roman" w:cs="Times New Roman"/>
      <w:sz w:val="24"/>
      <w:szCs w:val="20"/>
      <w:lang w:val="en-GB"/>
    </w:rPr>
  </w:style>
  <w:style w:type="paragraph" w:styleId="TOC5">
    <w:name w:val="toc 5"/>
    <w:basedOn w:val="Normal"/>
    <w:next w:val="Normal"/>
    <w:autoRedefine/>
    <w:uiPriority w:val="39"/>
    <w:unhideWhenUsed/>
    <w:qFormat/>
    <w:pPr>
      <w:spacing w:after="0" w:line="276" w:lineRule="auto"/>
      <w:ind w:left="880"/>
    </w:pPr>
    <w:rPr>
      <w:rFonts w:ascii="Calibri" w:eastAsia="Calibri" w:hAnsi="Calibri" w:cs="Times New Roman"/>
      <w:sz w:val="18"/>
      <w:szCs w:val="18"/>
    </w:rPr>
  </w:style>
  <w:style w:type="paragraph" w:styleId="TOC3">
    <w:name w:val="toc 3"/>
    <w:basedOn w:val="Normal"/>
    <w:next w:val="Normal"/>
    <w:autoRedefine/>
    <w:uiPriority w:val="39"/>
    <w:unhideWhenUsed/>
    <w:qFormat/>
    <w:pPr>
      <w:spacing w:after="0" w:line="276" w:lineRule="auto"/>
      <w:ind w:left="440"/>
    </w:pPr>
    <w:rPr>
      <w:rFonts w:ascii="Calibri" w:eastAsia="Calibri" w:hAnsi="Calibri" w:cs="Times New Roman"/>
      <w:i/>
      <w:iCs/>
      <w:sz w:val="20"/>
      <w:szCs w:val="20"/>
    </w:rPr>
  </w:style>
  <w:style w:type="paragraph" w:styleId="PlainText">
    <w:name w:val="Plain Text"/>
    <w:basedOn w:val="Normal"/>
    <w:link w:val="PlainTextChar"/>
    <w:qFormat/>
    <w:pPr>
      <w:spacing w:after="0" w:line="240" w:lineRule="auto"/>
      <w:jc w:val="both"/>
    </w:pPr>
    <w:rPr>
      <w:rFonts w:ascii="Arial" w:hAnsi="Arial" w:cs="Times New Roman"/>
      <w:sz w:val="18"/>
      <w:szCs w:val="20"/>
      <w:lang w:val="en-GB"/>
    </w:rPr>
  </w:style>
  <w:style w:type="paragraph" w:styleId="ListBullet5">
    <w:name w:val="List Bullet 5"/>
    <w:basedOn w:val="Normal"/>
    <w:qFormat/>
    <w:pPr>
      <w:tabs>
        <w:tab w:val="left" w:pos="643"/>
        <w:tab w:val="left" w:pos="1492"/>
      </w:tabs>
      <w:spacing w:after="0" w:line="240" w:lineRule="auto"/>
      <w:ind w:left="643" w:hanging="360"/>
      <w:jc w:val="both"/>
    </w:pPr>
    <w:rPr>
      <w:rFonts w:ascii="Times New Roman" w:eastAsia="Times New Roman" w:hAnsi="Times New Roman" w:cs="Times New Roman"/>
      <w:sz w:val="24"/>
      <w:szCs w:val="20"/>
      <w:lang w:val="en-GB"/>
    </w:rPr>
  </w:style>
  <w:style w:type="paragraph" w:styleId="ListNumber4">
    <w:name w:val="List Number 4"/>
    <w:basedOn w:val="Normal"/>
    <w:qFormat/>
    <w:pPr>
      <w:numPr>
        <w:numId w:val="5"/>
      </w:numPr>
      <w:tabs>
        <w:tab w:val="left" w:pos="1209"/>
      </w:tabs>
      <w:spacing w:after="0" w:line="240" w:lineRule="auto"/>
      <w:jc w:val="both"/>
    </w:pPr>
    <w:rPr>
      <w:rFonts w:ascii="Times New Roman" w:eastAsia="Times New Roman" w:hAnsi="Times New Roman" w:cs="Times New Roman"/>
      <w:sz w:val="24"/>
      <w:szCs w:val="20"/>
      <w:lang w:val="en-GB"/>
    </w:rPr>
  </w:style>
  <w:style w:type="paragraph" w:styleId="TOC8">
    <w:name w:val="toc 8"/>
    <w:basedOn w:val="Normal"/>
    <w:next w:val="Normal"/>
    <w:autoRedefine/>
    <w:unhideWhenUsed/>
    <w:qFormat/>
    <w:pPr>
      <w:spacing w:after="0" w:line="276" w:lineRule="auto"/>
      <w:ind w:left="1540"/>
    </w:pPr>
    <w:rPr>
      <w:rFonts w:ascii="Calibri" w:eastAsia="Calibri" w:hAnsi="Calibri" w:cs="Times New Roman"/>
      <w:sz w:val="18"/>
      <w:szCs w:val="18"/>
    </w:rPr>
  </w:style>
  <w:style w:type="paragraph" w:styleId="Index3">
    <w:name w:val="index 3"/>
    <w:basedOn w:val="Normal"/>
    <w:next w:val="Normal"/>
    <w:semiHidden/>
    <w:qFormat/>
    <w:pPr>
      <w:spacing w:after="0" w:line="240" w:lineRule="auto"/>
      <w:ind w:left="720" w:hanging="240"/>
      <w:jc w:val="both"/>
    </w:pPr>
    <w:rPr>
      <w:rFonts w:ascii="Times New Roman" w:eastAsia="Times New Roman" w:hAnsi="Times New Roman" w:cs="Times New Roman"/>
      <w:sz w:val="24"/>
      <w:szCs w:val="20"/>
      <w:lang w:val="en-GB"/>
    </w:rPr>
  </w:style>
  <w:style w:type="paragraph" w:styleId="Date">
    <w:name w:val="Date"/>
    <w:basedOn w:val="Normal"/>
    <w:next w:val="Normal"/>
    <w:link w:val="DateChar"/>
    <w:uiPriority w:val="99"/>
    <w:unhideWhenUsed/>
    <w:qFormat/>
    <w:pPr>
      <w:spacing w:after="0" w:line="240" w:lineRule="auto"/>
      <w:jc w:val="right"/>
    </w:pPr>
    <w:rPr>
      <w:rFonts w:ascii="Times New Roman" w:eastAsia="Times New Roman" w:hAnsi="Times New Roman" w:cs="Times New Roman"/>
      <w:sz w:val="24"/>
      <w:szCs w:val="24"/>
      <w:lang w:eastAsia="zh-TW"/>
    </w:rPr>
  </w:style>
  <w:style w:type="paragraph" w:styleId="BodyTextIndent2">
    <w:name w:val="Body Text Indent 2"/>
    <w:basedOn w:val="Normal"/>
    <w:link w:val="BodyTextIndent2Char"/>
    <w:qFormat/>
    <w:pPr>
      <w:spacing w:after="0" w:line="240" w:lineRule="auto"/>
      <w:ind w:left="540"/>
      <w:jc w:val="both"/>
    </w:pPr>
    <w:rPr>
      <w:rFonts w:ascii="Times New Roman" w:eastAsia="Times New Roman" w:hAnsi="Times New Roman" w:cs="Times New Roman"/>
      <w:sz w:val="24"/>
      <w:szCs w:val="24"/>
      <w:lang w:val="pl-PL"/>
    </w:rPr>
  </w:style>
  <w:style w:type="paragraph" w:styleId="EndnoteText">
    <w:name w:val="endnote text"/>
    <w:basedOn w:val="Normal"/>
    <w:link w:val="EndnoteTextChar"/>
    <w:unhideWhenUsed/>
    <w:qFormat/>
    <w:pPr>
      <w:bidi/>
      <w:spacing w:after="200" w:line="276" w:lineRule="auto"/>
    </w:pPr>
    <w:rPr>
      <w:rFonts w:ascii="Calibri" w:eastAsia="Calibri" w:hAnsi="Calibri" w:cs="Times New Roman"/>
      <w:sz w:val="20"/>
      <w:szCs w:val="20"/>
      <w:lang w:val="zh-CN" w:eastAsia="zh-CN"/>
    </w:rPr>
  </w:style>
  <w:style w:type="paragraph" w:styleId="ListContinue5">
    <w:name w:val="List Continue 5"/>
    <w:basedOn w:val="Normal"/>
    <w:qFormat/>
    <w:pPr>
      <w:spacing w:after="120" w:line="240" w:lineRule="auto"/>
      <w:ind w:left="1415" w:firstLine="567"/>
      <w:jc w:val="both"/>
    </w:pPr>
    <w:rPr>
      <w:rFonts w:ascii="Times New Roman" w:eastAsia="Times New Roman" w:hAnsi="Times New Roman" w:cs="Times New Roman"/>
      <w:sz w:val="24"/>
      <w:szCs w:val="20"/>
      <w:lang w:val="en-GB"/>
    </w:rPr>
  </w:style>
  <w:style w:type="paragraph" w:styleId="BalloonText">
    <w:name w:val="Balloon Text"/>
    <w:basedOn w:val="Normal"/>
    <w:link w:val="BalloonTextChar"/>
    <w:uiPriority w:val="99"/>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EnvelopeReturn">
    <w:name w:val="envelope return"/>
    <w:basedOn w:val="Normal"/>
    <w:qFormat/>
    <w:pPr>
      <w:spacing w:after="0" w:line="240" w:lineRule="auto"/>
      <w:ind w:firstLine="567"/>
      <w:jc w:val="both"/>
    </w:pPr>
    <w:rPr>
      <w:rFonts w:ascii="Arial" w:eastAsia="Times New Roman" w:hAnsi="Arial" w:cs="Times New Roman"/>
      <w:sz w:val="20"/>
      <w:szCs w:val="20"/>
      <w:lang w:val="en-GB"/>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Signature">
    <w:name w:val="Signature"/>
    <w:basedOn w:val="Normal"/>
    <w:link w:val="SignatureChar"/>
    <w:qFormat/>
    <w:pPr>
      <w:spacing w:after="0" w:line="240" w:lineRule="auto"/>
      <w:ind w:left="4252" w:firstLine="567"/>
      <w:jc w:val="both"/>
    </w:pPr>
    <w:rPr>
      <w:rFonts w:ascii="Times New Roman" w:eastAsia="Times New Roman" w:hAnsi="Times New Roman" w:cs="Times New Roman"/>
      <w:sz w:val="24"/>
      <w:szCs w:val="20"/>
      <w:lang w:val="en-GB"/>
    </w:rPr>
  </w:style>
  <w:style w:type="paragraph" w:styleId="TOC1">
    <w:name w:val="toc 1"/>
    <w:basedOn w:val="Normal"/>
    <w:next w:val="Normal"/>
    <w:autoRedefine/>
    <w:uiPriority w:val="1"/>
    <w:unhideWhenUsed/>
    <w:qFormat/>
    <w:pPr>
      <w:spacing w:before="120" w:after="120" w:line="276" w:lineRule="auto"/>
    </w:pPr>
    <w:rPr>
      <w:rFonts w:ascii="Calibri" w:eastAsia="Calibri" w:hAnsi="Calibri" w:cs="Times New Roman"/>
      <w:b/>
      <w:bCs/>
      <w:caps/>
      <w:sz w:val="20"/>
      <w:szCs w:val="20"/>
    </w:rPr>
  </w:style>
  <w:style w:type="paragraph" w:styleId="ListContinue4">
    <w:name w:val="List Continue 4"/>
    <w:basedOn w:val="Normal"/>
    <w:qFormat/>
    <w:pPr>
      <w:spacing w:after="120" w:line="240" w:lineRule="auto"/>
      <w:ind w:left="1132" w:firstLine="567"/>
      <w:jc w:val="both"/>
    </w:pPr>
    <w:rPr>
      <w:rFonts w:ascii="Times New Roman" w:eastAsia="Times New Roman" w:hAnsi="Times New Roman" w:cs="Times New Roman"/>
      <w:sz w:val="24"/>
      <w:szCs w:val="20"/>
      <w:lang w:val="en-GB"/>
    </w:rPr>
  </w:style>
  <w:style w:type="paragraph" w:styleId="TOC4">
    <w:name w:val="toc 4"/>
    <w:basedOn w:val="Normal"/>
    <w:next w:val="Normal"/>
    <w:autoRedefine/>
    <w:uiPriority w:val="39"/>
    <w:unhideWhenUsed/>
    <w:qFormat/>
    <w:pPr>
      <w:spacing w:after="0" w:line="276" w:lineRule="auto"/>
      <w:ind w:left="660"/>
    </w:pPr>
    <w:rPr>
      <w:rFonts w:ascii="Calibri" w:eastAsia="Calibri" w:hAnsi="Calibri" w:cs="Times New Roman"/>
      <w:sz w:val="18"/>
      <w:szCs w:val="18"/>
    </w:rPr>
  </w:style>
  <w:style w:type="paragraph" w:styleId="IndexHeading">
    <w:name w:val="index heading"/>
    <w:basedOn w:val="Normal"/>
    <w:next w:val="Index1"/>
    <w:semiHidden/>
    <w:qFormat/>
    <w:pPr>
      <w:spacing w:after="0" w:line="240" w:lineRule="auto"/>
      <w:ind w:firstLine="567"/>
      <w:jc w:val="both"/>
    </w:pPr>
    <w:rPr>
      <w:rFonts w:ascii="Arial" w:eastAsia="Times New Roman" w:hAnsi="Arial" w:cs="Times New Roman"/>
      <w:b/>
      <w:sz w:val="24"/>
      <w:szCs w:val="20"/>
      <w:lang w:val="en-GB"/>
    </w:rPr>
  </w:style>
  <w:style w:type="paragraph" w:styleId="Index1">
    <w:name w:val="index 1"/>
    <w:basedOn w:val="Normal"/>
    <w:next w:val="Normal"/>
    <w:semiHidden/>
    <w:qFormat/>
    <w:pPr>
      <w:spacing w:after="0" w:line="240" w:lineRule="auto"/>
      <w:ind w:left="240" w:hanging="240"/>
      <w:jc w:val="both"/>
    </w:pPr>
    <w:rPr>
      <w:rFonts w:ascii="Times New Roman" w:eastAsia="Times New Roman" w:hAnsi="Times New Roman" w:cs="Times New Roman"/>
      <w:sz w:val="24"/>
      <w:szCs w:val="20"/>
      <w:lang w:val="en-GB"/>
    </w:rPr>
  </w:style>
  <w:style w:type="paragraph" w:styleId="Subtitle">
    <w:name w:val="Subtitle"/>
    <w:basedOn w:val="Normal"/>
    <w:next w:val="Normal"/>
    <w:link w:val="SubtitleChar"/>
    <w:uiPriority w:val="11"/>
    <w:qFormat/>
    <w:pPr>
      <w:keepNext/>
      <w:keepLines/>
      <w:spacing w:before="360" w:after="80" w:line="240" w:lineRule="auto"/>
      <w:jc w:val="both"/>
    </w:pPr>
    <w:rPr>
      <w:rFonts w:ascii="Georgia" w:eastAsia="Georgia" w:hAnsi="Georgia" w:cs="Georgia"/>
      <w:i/>
      <w:color w:val="666666"/>
      <w:sz w:val="48"/>
      <w:szCs w:val="48"/>
      <w:lang w:val="en-GB" w:eastAsia="en-MY"/>
    </w:rPr>
  </w:style>
  <w:style w:type="paragraph" w:styleId="ListNumber5">
    <w:name w:val="List Number 5"/>
    <w:basedOn w:val="Normal"/>
    <w:qFormat/>
    <w:pPr>
      <w:numPr>
        <w:numId w:val="6"/>
      </w:numPr>
      <w:tabs>
        <w:tab w:val="left" w:pos="1492"/>
      </w:tabs>
      <w:spacing w:after="0" w:line="240" w:lineRule="auto"/>
      <w:jc w:val="both"/>
    </w:pPr>
    <w:rPr>
      <w:rFonts w:ascii="Times New Roman" w:eastAsia="Times New Roman" w:hAnsi="Times New Roman" w:cs="Times New Roman"/>
      <w:sz w:val="24"/>
      <w:szCs w:val="20"/>
      <w:lang w:val="en-GB"/>
    </w:rPr>
  </w:style>
  <w:style w:type="paragraph" w:styleId="List">
    <w:name w:val="List"/>
    <w:basedOn w:val="Normal"/>
    <w:unhideWhenUsed/>
    <w:qFormat/>
    <w:pPr>
      <w:ind w:left="283" w:hanging="283"/>
      <w:contextualSpacing/>
    </w:pPr>
    <w:rPr>
      <w:rFonts w:ascii="Calibri" w:eastAsia="Calibri" w:hAnsi="Calibri" w:cs="Times New Roman"/>
      <w:lang w:val="en-GB"/>
    </w:rPr>
  </w:style>
  <w:style w:type="paragraph" w:styleId="FootnoteText">
    <w:name w:val="footnote text"/>
    <w:basedOn w:val="Normal"/>
    <w:link w:val="FootnoteTextChar"/>
    <w:unhideWhenUsed/>
    <w:qFormat/>
    <w:pPr>
      <w:spacing w:after="0" w:line="240" w:lineRule="auto"/>
    </w:pPr>
    <w:rPr>
      <w:rFonts w:ascii="Cambria" w:hAnsi="Cambria" w:cs="Times New Roman"/>
      <w:sz w:val="24"/>
      <w:szCs w:val="24"/>
      <w:lang w:eastAsia="ja-JP"/>
    </w:rPr>
  </w:style>
  <w:style w:type="paragraph" w:styleId="TOC6">
    <w:name w:val="toc 6"/>
    <w:basedOn w:val="Normal"/>
    <w:next w:val="Normal"/>
    <w:autoRedefine/>
    <w:unhideWhenUsed/>
    <w:qFormat/>
    <w:pPr>
      <w:spacing w:after="0" w:line="276" w:lineRule="auto"/>
      <w:ind w:left="1100"/>
    </w:pPr>
    <w:rPr>
      <w:rFonts w:ascii="Calibri" w:eastAsia="Calibri" w:hAnsi="Calibri" w:cs="Times New Roman"/>
      <w:sz w:val="18"/>
      <w:szCs w:val="18"/>
    </w:rPr>
  </w:style>
  <w:style w:type="paragraph" w:styleId="List5">
    <w:name w:val="List 5"/>
    <w:basedOn w:val="Normal"/>
    <w:qFormat/>
    <w:pPr>
      <w:spacing w:after="0" w:line="240" w:lineRule="auto"/>
      <w:ind w:left="1415" w:hanging="283"/>
      <w:jc w:val="both"/>
    </w:pPr>
    <w:rPr>
      <w:rFonts w:ascii="Times New Roman" w:eastAsia="Times New Roman" w:hAnsi="Times New Roman" w:cs="Times New Roman"/>
      <w:sz w:val="24"/>
      <w:szCs w:val="20"/>
      <w:lang w:val="en-GB"/>
    </w:rPr>
  </w:style>
  <w:style w:type="paragraph" w:styleId="BodyTextIndent3">
    <w:name w:val="Body Text Indent 3"/>
    <w:basedOn w:val="Normal"/>
    <w:link w:val="BodyTextIndent3Char"/>
    <w:uiPriority w:val="99"/>
    <w:unhideWhenUsed/>
    <w:qFormat/>
    <w:pPr>
      <w:spacing w:after="120" w:line="276" w:lineRule="auto"/>
      <w:ind w:left="283"/>
    </w:pPr>
    <w:rPr>
      <w:rFonts w:ascii="Times New Roman"/>
      <w:sz w:val="16"/>
      <w:szCs w:val="16"/>
      <w:lang w:eastAsia="ar-SA"/>
    </w:rPr>
  </w:style>
  <w:style w:type="paragraph" w:styleId="Index7">
    <w:name w:val="index 7"/>
    <w:basedOn w:val="Normal"/>
    <w:next w:val="Normal"/>
    <w:semiHidden/>
    <w:qFormat/>
    <w:pPr>
      <w:spacing w:after="0" w:line="240" w:lineRule="auto"/>
      <w:ind w:left="1680" w:hanging="240"/>
      <w:jc w:val="both"/>
    </w:pPr>
    <w:rPr>
      <w:rFonts w:ascii="Times New Roman" w:eastAsia="Times New Roman" w:hAnsi="Times New Roman" w:cs="Times New Roman"/>
      <w:sz w:val="24"/>
      <w:szCs w:val="20"/>
      <w:lang w:val="en-GB"/>
    </w:rPr>
  </w:style>
  <w:style w:type="paragraph" w:styleId="Index9">
    <w:name w:val="index 9"/>
    <w:basedOn w:val="Normal"/>
    <w:next w:val="Normal"/>
    <w:semiHidden/>
    <w:qFormat/>
    <w:pPr>
      <w:spacing w:after="0" w:line="240" w:lineRule="auto"/>
      <w:ind w:left="2160" w:hanging="240"/>
      <w:jc w:val="both"/>
    </w:pPr>
    <w:rPr>
      <w:rFonts w:ascii="Times New Roman" w:eastAsia="Times New Roman" w:hAnsi="Times New Roman" w:cs="Times New Roman"/>
      <w:sz w:val="24"/>
      <w:szCs w:val="20"/>
      <w:lang w:val="en-GB"/>
    </w:rPr>
  </w:style>
  <w:style w:type="paragraph" w:styleId="TableofFigures">
    <w:name w:val="table of figures"/>
    <w:basedOn w:val="Normal"/>
    <w:next w:val="Normal"/>
    <w:uiPriority w:val="99"/>
    <w:unhideWhenUsed/>
    <w:qFormat/>
    <w:pPr>
      <w:spacing w:after="0" w:line="276" w:lineRule="auto"/>
      <w:ind w:left="440" w:hanging="440"/>
    </w:pPr>
    <w:rPr>
      <w:rFonts w:ascii="Calibri" w:eastAsia="Calibri" w:hAnsi="Calibri" w:cs="Times New Roman"/>
      <w:smallCaps/>
      <w:sz w:val="20"/>
      <w:szCs w:val="20"/>
    </w:rPr>
  </w:style>
  <w:style w:type="paragraph" w:styleId="TOC2">
    <w:name w:val="toc 2"/>
    <w:basedOn w:val="Normal"/>
    <w:next w:val="Normal"/>
    <w:autoRedefine/>
    <w:uiPriority w:val="1"/>
    <w:unhideWhenUsed/>
    <w:qFormat/>
    <w:pPr>
      <w:spacing w:after="0" w:line="276" w:lineRule="auto"/>
      <w:ind w:left="220"/>
    </w:pPr>
    <w:rPr>
      <w:rFonts w:ascii="Calibri" w:eastAsia="Calibri" w:hAnsi="Calibri" w:cs="Times New Roman"/>
      <w:smallCaps/>
      <w:sz w:val="20"/>
      <w:szCs w:val="20"/>
    </w:rPr>
  </w:style>
  <w:style w:type="paragraph" w:styleId="TOC9">
    <w:name w:val="toc 9"/>
    <w:basedOn w:val="Normal"/>
    <w:next w:val="Normal"/>
    <w:autoRedefine/>
    <w:unhideWhenUsed/>
    <w:qFormat/>
    <w:pPr>
      <w:spacing w:after="0" w:line="276" w:lineRule="auto"/>
      <w:ind w:left="1760"/>
    </w:pPr>
    <w:rPr>
      <w:rFonts w:ascii="Calibri" w:eastAsia="Calibri" w:hAnsi="Calibri" w:cs="Times New Roman"/>
      <w:sz w:val="18"/>
      <w:szCs w:val="18"/>
    </w:rPr>
  </w:style>
  <w:style w:type="paragraph" w:styleId="BodyText2">
    <w:name w:val="Body Text 2"/>
    <w:aliases w:val="Table标题"/>
    <w:basedOn w:val="Normal"/>
    <w:link w:val="BodyText2Char"/>
    <w:unhideWhenUsed/>
    <w:qFormat/>
    <w:pPr>
      <w:spacing w:after="120" w:line="480" w:lineRule="auto"/>
      <w:ind w:firstLine="720"/>
      <w:jc w:val="both"/>
    </w:pPr>
    <w:rPr>
      <w:rFonts w:ascii="Calibri" w:eastAsia="Calibri" w:hAnsi="Calibri" w:cs="Times New Roman"/>
      <w:lang w:val="en-GB"/>
    </w:rPr>
  </w:style>
  <w:style w:type="paragraph" w:styleId="List4">
    <w:name w:val="List 4"/>
    <w:basedOn w:val="Normal"/>
    <w:qFormat/>
    <w:pPr>
      <w:spacing w:after="0" w:line="240" w:lineRule="auto"/>
      <w:ind w:left="1132" w:hanging="283"/>
      <w:jc w:val="both"/>
    </w:pPr>
    <w:rPr>
      <w:rFonts w:ascii="Times New Roman" w:eastAsia="Times New Roman" w:hAnsi="Times New Roman" w:cs="Times New Roman"/>
      <w:sz w:val="24"/>
      <w:szCs w:val="20"/>
      <w:lang w:val="en-GB"/>
    </w:rPr>
  </w:style>
  <w:style w:type="paragraph" w:styleId="ListContinue2">
    <w:name w:val="List Continue 2"/>
    <w:basedOn w:val="Normal"/>
    <w:qFormat/>
    <w:pPr>
      <w:spacing w:after="120" w:line="240" w:lineRule="auto"/>
      <w:ind w:left="566" w:firstLine="567"/>
      <w:jc w:val="both"/>
    </w:pPr>
    <w:rPr>
      <w:rFonts w:ascii="Times New Roman" w:eastAsia="Times New Roman" w:hAnsi="Times New Roman" w:cs="Times New Roman"/>
      <w:sz w:val="24"/>
      <w:szCs w:val="20"/>
      <w:lang w:val="en-GB"/>
    </w:r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Times New Roman" w:hAnsi="Arial" w:cs="Times New Roman"/>
      <w:sz w:val="24"/>
      <w:szCs w:val="20"/>
      <w:lang w:val="en-GB"/>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MY"/>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Continue3">
    <w:name w:val="List Continue 3"/>
    <w:basedOn w:val="Normal"/>
    <w:qFormat/>
    <w:pPr>
      <w:spacing w:after="120" w:line="240" w:lineRule="auto"/>
      <w:ind w:left="849" w:firstLine="567"/>
      <w:jc w:val="both"/>
    </w:pPr>
    <w:rPr>
      <w:rFonts w:ascii="Times New Roman" w:eastAsia="Times New Roman" w:hAnsi="Times New Roman" w:cs="Times New Roman"/>
      <w:sz w:val="24"/>
      <w:szCs w:val="20"/>
      <w:lang w:val="en-GB"/>
    </w:rPr>
  </w:style>
  <w:style w:type="paragraph" w:styleId="Index2">
    <w:name w:val="index 2"/>
    <w:basedOn w:val="Normal"/>
    <w:next w:val="Normal"/>
    <w:semiHidden/>
    <w:qFormat/>
    <w:pPr>
      <w:spacing w:after="0" w:line="240" w:lineRule="auto"/>
      <w:ind w:left="480" w:hanging="240"/>
      <w:jc w:val="both"/>
    </w:pPr>
    <w:rPr>
      <w:rFonts w:ascii="Times New Roman" w:eastAsia="Times New Roman" w:hAnsi="Times New Roman" w:cs="Times New Roman"/>
      <w:sz w:val="24"/>
      <w:szCs w:val="20"/>
      <w:lang w:val="en-GB"/>
    </w:rPr>
  </w:style>
  <w:style w:type="paragraph" w:styleId="Title">
    <w:name w:val="Title"/>
    <w:basedOn w:val="Normal"/>
    <w:next w:val="Normal"/>
    <w:link w:val="TitleChar"/>
    <w:uiPriority w:val="10"/>
    <w:qFormat/>
    <w:pPr>
      <w:keepNext/>
      <w:keepLines/>
      <w:spacing w:before="480" w:after="120" w:line="240" w:lineRule="auto"/>
      <w:jc w:val="both"/>
    </w:pPr>
    <w:rPr>
      <w:rFonts w:ascii="Times New Roman" w:eastAsia="Calibri" w:hAnsi="Times New Roman" w:cs="Calibri"/>
      <w:b/>
      <w:sz w:val="72"/>
      <w:szCs w:val="72"/>
      <w:lang w:val="en-GB" w:eastAsia="en-MY"/>
    </w:rPr>
  </w:style>
  <w:style w:type="paragraph" w:styleId="CommentSubject">
    <w:name w:val="annotation subject"/>
    <w:basedOn w:val="CommentText"/>
    <w:next w:val="CommentText"/>
    <w:link w:val="CommentSubjectChar"/>
    <w:uiPriority w:val="99"/>
    <w:unhideWhenUsed/>
    <w:qFormat/>
    <w:rPr>
      <w:b/>
      <w:bCs/>
    </w:rPr>
  </w:style>
  <w:style w:type="paragraph" w:styleId="BodyTextFirstIndent">
    <w:name w:val="Body Text First Indent"/>
    <w:basedOn w:val="BodyText"/>
    <w:link w:val="BodyTextFirstIndentChar"/>
    <w:unhideWhenUsed/>
    <w:qFormat/>
    <w:pPr>
      <w:autoSpaceDE/>
      <w:autoSpaceDN/>
      <w:adjustRightInd/>
      <w:spacing w:after="120" w:line="259" w:lineRule="auto"/>
      <w:ind w:firstLine="210"/>
    </w:pPr>
    <w:rPr>
      <w:rFonts w:ascii="Calibri" w:eastAsia="Calibri" w:hAnsi="Calibri"/>
      <w:sz w:val="22"/>
      <w:szCs w:val="22"/>
      <w:lang w:val="en-GB"/>
    </w:rPr>
  </w:style>
  <w:style w:type="paragraph" w:styleId="BodyTextFirstIndent2">
    <w:name w:val="Body Text First Indent 2"/>
    <w:basedOn w:val="BodyTextIndent"/>
    <w:link w:val="BodyTextFirstIndent2Char"/>
    <w:qFormat/>
    <w:pPr>
      <w:ind w:left="283" w:firstLine="210"/>
      <w:jc w:val="both"/>
    </w:pPr>
    <w:rPr>
      <w:sz w:val="24"/>
      <w:szCs w:val="20"/>
      <w:lang w:val="en-GB"/>
    </w:rPr>
  </w:style>
  <w:style w:type="table" w:styleId="TableGrid">
    <w:name w:val="Table Grid"/>
    <w:aliases w:val="Table Grid Header,Table UUM"/>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qFormat/>
    <w:rPr>
      <w:rFonts w:eastAsia="Times New Roman"/>
      <w:lang w:val="pt-PT" w:eastAsia="pt-PT"/>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Simple2">
    <w:name w:val="Table Simple 2"/>
    <w:basedOn w:val="TableNormal"/>
    <w:qFormat/>
    <w:rPr>
      <w:rFonts w:eastAsia="DengXian"/>
      <w:lang w:eastAsia="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LightShading">
    <w:name w:val="Light Shading"/>
    <w:basedOn w:val="TableNormal"/>
    <w:uiPriority w:val="99"/>
    <w:qFormat/>
    <w:rPr>
      <w:rFonts w:ascii="Cambria" w:hAnsi="Cambria"/>
      <w:color w:val="000000"/>
      <w:lang w:val="en-AU" w:eastAsia="ja-JP"/>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2F5496" w:themeColor="accent1" w:themeShade="BF"/>
    </w:rPr>
    <w:tblPr>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List">
    <w:name w:val="Light List"/>
    <w:basedOn w:val="TableNormal"/>
    <w:uiPriority w:val="61"/>
    <w:semiHidden/>
    <w:unhideWhenUsed/>
    <w:qFormat/>
    <w:rPr>
      <w:rFonts w:eastAsiaTheme="minorEastAsia"/>
      <w:kern w:val="2"/>
      <w:sz w:val="21"/>
      <w:lang w:eastAsia="zh-CN"/>
      <w14:ligatures w14:val="standardContextual"/>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unhideWhenUsed/>
    <w:qFormat/>
    <w:rPr>
      <w:lang w:val="en-AU" w:eastAsia="en-AU"/>
    </w:r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Shading1-Accent5">
    <w:name w:val="Medium Shading 1 Accent 5"/>
    <w:basedOn w:val="TableNormal"/>
    <w:uiPriority w:val="63"/>
    <w:qFormat/>
    <w:rPr>
      <w:rFonts w:ascii="Calibri" w:eastAsia="Calibri" w:hAnsi="Calibri" w:cs="Arial"/>
      <w:szCs w:val="28"/>
      <w:lang w:val="en-AU" w:bidi="th-TH"/>
    </w:rPr>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2">
    <w:name w:val="Medium Shading 2 Accent 2"/>
    <w:basedOn w:val="TableNormal"/>
    <w:uiPriority w:val="64"/>
    <w:semiHidden/>
    <w:unhideWhenUsed/>
    <w:qFormat/>
    <w:rPr>
      <w:rFonts w:eastAsiaTheme="minorHAnsi"/>
      <w:kern w:val="2"/>
      <w14:ligatures w14:val="standardContextual"/>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qFormat/>
    <w:rPr>
      <w:rFonts w:eastAsiaTheme="minorEastAsia"/>
      <w:kern w:val="2"/>
      <w:sz w:val="21"/>
      <w:lang w:eastAsia="zh-CN"/>
      <w14:ligatures w14:val="standardContextual"/>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qFormat/>
    <w:rPr>
      <w:rFonts w:eastAsiaTheme="minorHAnsi"/>
      <w:kern w:val="2"/>
      <w14:ligatures w14:val="standardContextual"/>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qFormat/>
    <w:rPr>
      <w:rFonts w:ascii="Calibri" w:eastAsia="Calibri" w:hAnsi="Calibri" w:cs="Arial"/>
      <w:color w:val="000000"/>
    </w:rPr>
    <w:tblPr>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qFormat/>
    <w:rPr>
      <w:rFonts w:eastAsia="Times New Roman"/>
      <w:color w:val="000000" w:themeColor="text1"/>
    </w:rPr>
    <w:tblPr>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Accent6">
    <w:name w:val="Medium List 2 Accent 6"/>
    <w:basedOn w:val="TableNormal"/>
    <w:qFormat/>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6">
    <w:name w:val="Medium Grid 1 Accent 6"/>
    <w:basedOn w:val="TableNormal"/>
    <w:qFormat/>
    <w:rPr>
      <w:rFonts w:eastAsia="Times New Roman"/>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Accent6">
    <w:name w:val="Medium Grid 2 Accent 6"/>
    <w:basedOn w:val="TableNormal"/>
    <w:qFormat/>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styleId="ColorfulShading-Accent5">
    <w:name w:val="Colorful Shading Accent 5"/>
    <w:basedOn w:val="TableNormal"/>
    <w:uiPriority w:val="62"/>
    <w:qFormat/>
    <w:rPr>
      <w:rFonts w:ascii="Calibri" w:eastAsia="Calibri" w:hAnsi="Calibri"/>
      <w:lang w:val="ms-MY" w:eastAsia="ja-JP"/>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Helvetica" w:eastAsia="Times New Roman" w:hAnsi="Helvetic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Helvetica" w:eastAsia="Times New Roman" w:hAnsi="Helvetic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tblStylePr w:type="neCell">
      <w:rPr>
        <w:color w:val="000000"/>
      </w:rPr>
    </w:tblStylePr>
    <w:tblStylePr w:type="nwCell">
      <w:rPr>
        <w:color w:val="000000"/>
      </w:rPr>
    </w:tblStylePr>
  </w:style>
  <w:style w:type="table" w:styleId="ColorfulList">
    <w:name w:val="Colorful List"/>
    <w:basedOn w:val="TableNormal"/>
    <w:qFormat/>
    <w:rPr>
      <w:rFonts w:eastAsia="Times New Roman"/>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
    <w:name w:val="Colorful Grid"/>
    <w:basedOn w:val="TableNormal"/>
    <w:qFormat/>
    <w:rPr>
      <w:rFonts w:eastAsia="Times New Roman"/>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Strong">
    <w:name w:val="Strong"/>
    <w:basedOn w:val="DefaultParagraphFont"/>
    <w:uiPriority w:val="22"/>
    <w:qFormat/>
    <w:rPr>
      <w:b/>
      <w:bCs/>
    </w:rPr>
  </w:style>
  <w:style w:type="character" w:styleId="EndnoteReference">
    <w:name w:val="endnote reference"/>
    <w:unhideWhenUsed/>
    <w:qFormat/>
    <w:rPr>
      <w:vertAlign w:val="superscript"/>
    </w:rPr>
  </w:style>
  <w:style w:type="character" w:styleId="PageNumber">
    <w:name w:val="page number"/>
    <w:basedOn w:val="DefaultParagraphFont"/>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uiPriority w:val="20"/>
    <w:qFormat/>
    <w:rPr>
      <w:i/>
      <w:iCs/>
    </w:rPr>
  </w:style>
  <w:style w:type="character" w:styleId="LineNumber">
    <w:name w:val="line number"/>
    <w:basedOn w:val="DefaultParagraphFont"/>
    <w:uiPriority w:val="99"/>
    <w:unhideWhenUsed/>
    <w:qFormat/>
  </w:style>
  <w:style w:type="character" w:styleId="HTMLDefinition">
    <w:name w:val="HTML Definition"/>
    <w:basedOn w:val="DefaultParagraphFont"/>
    <w:uiPriority w:val="99"/>
    <w:semiHidden/>
    <w:unhideWhenUsed/>
    <w:qFormat/>
    <w:rPr>
      <w:i/>
      <w:iCs/>
    </w:rPr>
  </w:style>
  <w:style w:type="character" w:styleId="Hyperlink">
    <w:name w:val="Hyperlink"/>
    <w:basedOn w:val="DefaultParagraphFont"/>
    <w:uiPriority w:val="99"/>
    <w:unhideWhenUsed/>
    <w:qFormat/>
    <w:rPr>
      <w:color w:val="0563C1" w:themeColor="hyperlink"/>
      <w:u w:val="single"/>
    </w:rPr>
  </w:style>
  <w:style w:type="character" w:styleId="HTMLCode">
    <w:name w:val="HTML Code"/>
    <w:uiPriority w:val="99"/>
    <w:semiHidden/>
    <w:unhideWhenUsed/>
    <w:qFormat/>
    <w:rPr>
      <w:rFonts w:ascii="Courier New" w:eastAsia="Times New Roman" w:hAnsi="Courier New" w:cs="Courier New"/>
      <w:sz w:val="20"/>
      <w:szCs w:val="20"/>
    </w:rPr>
  </w:style>
  <w:style w:type="character" w:styleId="CommentReference">
    <w:name w:val="annotation reference"/>
    <w:uiPriority w:val="99"/>
    <w:unhideWhenUsed/>
    <w:qFormat/>
    <w:rPr>
      <w:sz w:val="16"/>
      <w:szCs w:val="16"/>
    </w:rPr>
  </w:style>
  <w:style w:type="character" w:styleId="HTMLCite">
    <w:name w:val="HTML Cite"/>
    <w:uiPriority w:val="99"/>
    <w:semiHidden/>
    <w:unhideWhenUsed/>
    <w:qFormat/>
    <w:rPr>
      <w:i/>
      <w:iCs/>
    </w:rPr>
  </w:style>
  <w:style w:type="character" w:styleId="FootnoteReference">
    <w:name w:val="footnote reference"/>
    <w:uiPriority w:val="99"/>
    <w:unhideWhenUsed/>
    <w:qFormat/>
    <w:rPr>
      <w:vertAlign w:val="superscript"/>
    </w:rPr>
  </w:style>
  <w:style w:type="character" w:customStyle="1" w:styleId="UnresolvedMention1">
    <w:name w:val="Unresolved Mention1"/>
    <w:basedOn w:val="DefaultParagraphFont"/>
    <w:uiPriority w:val="99"/>
    <w:unhideWhenUsed/>
    <w:qFormat/>
    <w:rPr>
      <w:color w:val="808080"/>
      <w:shd w:val="clear" w:color="auto" w:fill="E6E6E6"/>
    </w:rPr>
  </w:style>
  <w:style w:type="character" w:customStyle="1" w:styleId="nlmpublisher-name">
    <w:name w:val="nlm_publisher-name"/>
    <w:basedOn w:val="DefaultParagraphFont"/>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5Char">
    <w:name w:val="Heading 5 Char"/>
    <w:link w:val="Heading5"/>
    <w:uiPriority w:val="9"/>
    <w:qFormat/>
    <w:rPr>
      <w:rFonts w:ascii="Calibri" w:eastAsia="Times New Roman" w:hAnsi="Calibri" w:cs="Times New Roman"/>
      <w:b/>
      <w:bCs/>
      <w:i/>
      <w:iCs/>
      <w:sz w:val="26"/>
      <w:szCs w:val="26"/>
    </w:rPr>
  </w:style>
  <w:style w:type="character" w:customStyle="1" w:styleId="BodyTextChar">
    <w:name w:val="Body Text Char"/>
    <w:aliases w:val="正文末段 Char"/>
    <w:basedOn w:val="DefaultParagraphFont"/>
    <w:link w:val="BodyText"/>
    <w:qFormat/>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qFormat/>
    <w:rPr>
      <w:rFonts w:ascii="Segoe UI" w:hAnsi="Segoe UI" w:cs="Segoe UI"/>
      <w:sz w:val="18"/>
      <w:szCs w:val="18"/>
    </w:rPr>
  </w:style>
  <w:style w:type="character" w:customStyle="1" w:styleId="FootnoteTextChar">
    <w:name w:val="Footnote Text Char"/>
    <w:basedOn w:val="DefaultParagraphFont"/>
    <w:link w:val="FootnoteText"/>
    <w:qFormat/>
    <w:rPr>
      <w:rFonts w:ascii="Cambria" w:eastAsia="MS Mincho" w:hAnsi="Cambria" w:cs="Times New Roman"/>
      <w:sz w:val="24"/>
      <w:szCs w:val="24"/>
      <w:lang w:eastAsia="ja-JP"/>
    </w:rPr>
  </w:style>
  <w:style w:type="paragraph" w:customStyle="1" w:styleId="110">
    <w:name w:val="Επικεφαλίδα 11"/>
    <w:basedOn w:val="Normal"/>
    <w:uiPriority w:val="1"/>
    <w:pPr>
      <w:widowControl w:val="0"/>
      <w:spacing w:after="0" w:line="240" w:lineRule="auto"/>
      <w:ind w:left="360" w:hanging="240"/>
      <w:jc w:val="both"/>
      <w:outlineLvl w:val="1"/>
    </w:pPr>
    <w:rPr>
      <w:rFonts w:ascii="Times New Roman" w:eastAsia="Times New Roman" w:hAnsi="Times New Roman" w:cs="Times New Roman"/>
      <w:b/>
      <w:bCs/>
      <w:sz w:val="24"/>
      <w:szCs w:val="24"/>
    </w:rPr>
  </w:style>
  <w:style w:type="paragraph" w:customStyle="1" w:styleId="TTPParagraphothers">
    <w:name w:val="TTP Paragraph (others)"/>
    <w:basedOn w:val="Normal"/>
    <w:uiPriority w:val="99"/>
    <w:pPr>
      <w:autoSpaceDE w:val="0"/>
      <w:autoSpaceDN w:val="0"/>
      <w:spacing w:after="0" w:line="240" w:lineRule="auto"/>
      <w:ind w:firstLine="283"/>
      <w:jc w:val="both"/>
    </w:pPr>
    <w:rPr>
      <w:rFonts w:ascii="Times New Roman" w:eastAsia="Times New Roman" w:hAnsi="Times New Roman" w:cs="Times New Roman"/>
      <w:sz w:val="24"/>
      <w:szCs w:val="24"/>
    </w:rPr>
  </w:style>
  <w:style w:type="paragraph" w:customStyle="1" w:styleId="Els-body-text">
    <w:name w:val="Els-body-text"/>
    <w:qFormat/>
    <w:pPr>
      <w:spacing w:line="240" w:lineRule="exact"/>
      <w:ind w:firstLine="238"/>
      <w:jc w:val="both"/>
    </w:pPr>
  </w:style>
  <w:style w:type="paragraph" w:styleId="NoSpacing">
    <w:name w:val="No Spacing"/>
    <w:link w:val="NoSpacingChar"/>
    <w:uiPriority w:val="1"/>
    <w:qFormat/>
    <w:rPr>
      <w:rFonts w:ascii="Calibri" w:eastAsia="Calibri" w:hAnsi="Calibri" w:cs="Arial"/>
      <w:sz w:val="22"/>
      <w:szCs w:val="22"/>
    </w:rPr>
  </w:style>
  <w:style w:type="character" w:customStyle="1" w:styleId="EndnoteTextChar">
    <w:name w:val="Endnote Text Char"/>
    <w:basedOn w:val="DefaultParagraphFont"/>
    <w:link w:val="EndnoteText"/>
    <w:qFormat/>
    <w:rPr>
      <w:rFonts w:ascii="Calibri" w:eastAsia="Calibri" w:hAnsi="Calibri" w:cs="Times New Roman"/>
      <w:sz w:val="20"/>
      <w:szCs w:val="20"/>
      <w:lang w:val="zh-CN" w:eastAsia="zh-CN"/>
    </w:rPr>
  </w:style>
  <w:style w:type="paragraph" w:styleId="ListParagraph">
    <w:name w:val="List Paragraph"/>
    <w:aliases w:val="List Paragraph 2"/>
    <w:basedOn w:val="Normal"/>
    <w:link w:val="ListParagraphChar"/>
    <w:uiPriority w:val="34"/>
    <w:qFormat/>
    <w:pPr>
      <w:bidi/>
      <w:spacing w:after="200" w:line="276" w:lineRule="auto"/>
      <w:ind w:left="720"/>
      <w:contextualSpacing/>
    </w:pPr>
    <w:rPr>
      <w:rFonts w:ascii="Calibri" w:eastAsia="Calibri" w:hAnsi="Calibri" w:cs="Arial"/>
    </w:rPr>
  </w:style>
  <w:style w:type="character" w:customStyle="1" w:styleId="pg-1ff2">
    <w:name w:val="pg-1ff2"/>
    <w:qFormat/>
  </w:style>
  <w:style w:type="character" w:customStyle="1" w:styleId="a">
    <w:name w:val="_"/>
  </w:style>
  <w:style w:type="character" w:customStyle="1" w:styleId="pg-1ff1">
    <w:name w:val="pg-1ff1"/>
  </w:style>
  <w:style w:type="character" w:customStyle="1" w:styleId="pg-1fc2">
    <w:name w:val="pg-1fc2"/>
    <w:qFormat/>
  </w:style>
  <w:style w:type="character" w:customStyle="1" w:styleId="pg-1fc0">
    <w:name w:val="pg-1fc0"/>
  </w:style>
  <w:style w:type="character" w:customStyle="1" w:styleId="apple-converted-space">
    <w:name w:val="apple-converted-space"/>
    <w:qFormat/>
  </w:style>
  <w:style w:type="character" w:customStyle="1" w:styleId="CommentTextChar">
    <w:name w:val="Comment Text Char"/>
    <w:link w:val="CommentText"/>
    <w:uiPriority w:val="99"/>
    <w:qFormat/>
  </w:style>
  <w:style w:type="character" w:customStyle="1" w:styleId="CommentTextChar1">
    <w:name w:val="Comment Text Char1"/>
    <w:basedOn w:val="DefaultParagraphFont"/>
    <w:uiPriority w:val="99"/>
    <w:semiHidden/>
    <w:qFormat/>
    <w:rPr>
      <w:sz w:val="20"/>
      <w:szCs w:val="20"/>
    </w:rPr>
  </w:style>
  <w:style w:type="character" w:customStyle="1" w:styleId="CommentSubjectChar">
    <w:name w:val="Comment Subject Char"/>
    <w:link w:val="CommentSubject"/>
    <w:uiPriority w:val="99"/>
    <w:qFormat/>
    <w:rPr>
      <w:b/>
      <w:bCs/>
    </w:rPr>
  </w:style>
  <w:style w:type="character" w:customStyle="1" w:styleId="CommentSubjectChar1">
    <w:name w:val="Comment Subject Char1"/>
    <w:basedOn w:val="CommentTextChar1"/>
    <w:uiPriority w:val="99"/>
    <w:semiHidden/>
    <w:qFormat/>
    <w:rPr>
      <w:b/>
      <w:bCs/>
      <w:sz w:val="20"/>
      <w:szCs w:val="20"/>
    </w:rPr>
  </w:style>
  <w:style w:type="character" w:customStyle="1" w:styleId="BalloonTextChar1">
    <w:name w:val="Balloon Text Char1"/>
    <w:uiPriority w:val="99"/>
    <w:semiHidden/>
    <w:qFormat/>
    <w:rPr>
      <w:rFonts w:ascii="Tahoma" w:hAnsi="Tahoma" w:cs="Tahoma"/>
      <w:sz w:val="16"/>
      <w:szCs w:val="16"/>
    </w:rPr>
  </w:style>
  <w:style w:type="paragraph" w:customStyle="1" w:styleId="yiv5600686552s13">
    <w:name w:val="yiv5600686552s13"/>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5600686552s3">
    <w:name w:val="yiv5600686552s3"/>
    <w:qFormat/>
  </w:style>
  <w:style w:type="paragraph" w:customStyle="1" w:styleId="Default">
    <w:name w:val="Default"/>
    <w:link w:val="DefaultChar"/>
    <w:qFormat/>
    <w:pPr>
      <w:autoSpaceDE w:val="0"/>
      <w:autoSpaceDN w:val="0"/>
      <w:adjustRightInd w:val="0"/>
    </w:pPr>
    <w:rPr>
      <w:rFonts w:ascii="Arial" w:eastAsia="Calibri" w:hAnsi="Arial" w:cs="Arial"/>
      <w:color w:val="000000"/>
      <w:sz w:val="24"/>
      <w:szCs w:val="24"/>
    </w:rPr>
  </w:style>
  <w:style w:type="character" w:customStyle="1" w:styleId="Heading1Char">
    <w:name w:val="Heading 1 Char"/>
    <w:aliases w:val="Heading 1 Proposal Char,JICT- Heading 1 Char"/>
    <w:basedOn w:val="DefaultParagraphFont"/>
    <w:link w:val="Heading1"/>
    <w:uiPriority w:val="9"/>
    <w:qFormat/>
    <w:rPr>
      <w:rFonts w:asciiTheme="majorHAnsi" w:eastAsiaTheme="majorEastAsia" w:hAnsiTheme="majorHAnsi" w:cstheme="majorBidi"/>
      <w:b/>
      <w:bCs/>
      <w:color w:val="2F5496" w:themeColor="accent1" w:themeShade="BF"/>
      <w:sz w:val="28"/>
      <w:szCs w:val="28"/>
      <w:lang w:bidi="en-US"/>
    </w:rPr>
  </w:style>
  <w:style w:type="character" w:customStyle="1" w:styleId="Heading2Char">
    <w:name w:val="Heading 2 Char"/>
    <w:aliases w:val="JICT-Heading 2 Char"/>
    <w:basedOn w:val="DefaultParagraphFont"/>
    <w:link w:val="Heading2"/>
    <w:uiPriority w:val="9"/>
    <w:qFormat/>
    <w:rPr>
      <w:rFonts w:asciiTheme="majorHAnsi" w:eastAsiaTheme="majorEastAsia" w:hAnsiTheme="majorHAnsi" w:cstheme="majorBidi"/>
      <w:b/>
      <w:bCs/>
      <w:color w:val="4472C4" w:themeColor="accent1"/>
      <w:sz w:val="26"/>
      <w:szCs w:val="26"/>
      <w:lang w:bidi="en-US"/>
    </w:rPr>
  </w:style>
  <w:style w:type="character" w:customStyle="1" w:styleId="Heading3Char">
    <w:name w:val="Heading 3 Char"/>
    <w:basedOn w:val="DefaultParagraphFont"/>
    <w:link w:val="Heading3"/>
    <w:uiPriority w:val="9"/>
    <w:qFormat/>
    <w:rPr>
      <w:rFonts w:ascii="Arial" w:eastAsia="Times New Roman" w:hAnsi="Arial" w:cs="Arial"/>
      <w:b/>
      <w:bCs/>
      <w:i/>
      <w:iCs/>
      <w:sz w:val="26"/>
      <w:szCs w:val="26"/>
      <w:lang w:bidi="en-US"/>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i/>
      <w:iCs/>
      <w:color w:val="4472C4" w:themeColor="accent1"/>
      <w:lang w:bidi="en-US"/>
    </w:rPr>
  </w:style>
  <w:style w:type="paragraph" w:customStyle="1" w:styleId="a0">
    <w:name w:val="二级标题"/>
    <w:basedOn w:val="Normal"/>
    <w:link w:val="Char"/>
    <w:qFormat/>
    <w:pPr>
      <w:keepNext/>
      <w:widowControl w:val="0"/>
      <w:spacing w:after="80" w:line="240" w:lineRule="exact"/>
      <w:jc w:val="both"/>
      <w:outlineLvl w:val="1"/>
    </w:pPr>
    <w:rPr>
      <w:rFonts w:ascii="Times New Roman" w:eastAsia="SimSun" w:hAnsi="Times New Roman" w:cs="Times New Roman"/>
      <w:i/>
      <w:kern w:val="2"/>
      <w:sz w:val="20"/>
      <w:szCs w:val="24"/>
      <w:lang w:eastAsia="zh-CN"/>
    </w:rPr>
  </w:style>
  <w:style w:type="character" w:customStyle="1" w:styleId="Char">
    <w:name w:val="二级标题 Char"/>
    <w:basedOn w:val="DefaultParagraphFont"/>
    <w:link w:val="a0"/>
    <w:qFormat/>
    <w:rPr>
      <w:rFonts w:ascii="Times New Roman" w:eastAsia="SimSun" w:hAnsi="Times New Roman" w:cs="Times New Roman"/>
      <w:i/>
      <w:kern w:val="2"/>
      <w:sz w:val="20"/>
      <w:szCs w:val="24"/>
      <w:lang w:eastAsia="zh-CN"/>
    </w:rPr>
  </w:style>
  <w:style w:type="paragraph" w:customStyle="1" w:styleId="a1">
    <w:name w:val="参考文献"/>
    <w:basedOn w:val="Normal"/>
    <w:qFormat/>
    <w:pPr>
      <w:widowControl w:val="0"/>
      <w:spacing w:after="80" w:line="240" w:lineRule="exact"/>
      <w:ind w:left="400" w:hangingChars="200" w:hanging="400"/>
      <w:jc w:val="both"/>
    </w:pPr>
    <w:rPr>
      <w:rFonts w:ascii="Times New Roman" w:eastAsia="SimSun" w:hAnsi="Times New Roman" w:cs="Times New Roman"/>
      <w:kern w:val="2"/>
      <w:sz w:val="20"/>
      <w:szCs w:val="20"/>
      <w:lang w:eastAsia="zh-CN"/>
    </w:rPr>
  </w:style>
  <w:style w:type="character" w:customStyle="1" w:styleId="NoSpacingChar">
    <w:name w:val="No Spacing Char"/>
    <w:basedOn w:val="DefaultParagraphFont"/>
    <w:link w:val="NoSpacing"/>
    <w:uiPriority w:val="1"/>
    <w:qFormat/>
    <w:rPr>
      <w:rFonts w:ascii="Calibri" w:eastAsia="Calibri" w:hAnsi="Calibri" w:cs="Arial"/>
    </w:rPr>
  </w:style>
  <w:style w:type="character" w:customStyle="1" w:styleId="fontstyle01">
    <w:name w:val="fontstyle01"/>
    <w:basedOn w:val="DefaultParagraphFont"/>
    <w:qFormat/>
    <w:rPr>
      <w:rFonts w:ascii="Georgia" w:hAnsi="Georgia" w:hint="default"/>
      <w:color w:val="242424"/>
      <w:sz w:val="32"/>
      <w:szCs w:val="32"/>
    </w:rPr>
  </w:style>
  <w:style w:type="character" w:customStyle="1" w:styleId="Heading7Char">
    <w:name w:val="Heading 7 Char"/>
    <w:basedOn w:val="DefaultParagraphFont"/>
    <w:link w:val="Heading7"/>
    <w:uiPriority w:val="9"/>
    <w:qFormat/>
    <w:rPr>
      <w:rFonts w:ascii="Calibri" w:eastAsia="Times New Roman" w:hAnsi="Calibri" w:cs="Times New Roman"/>
      <w:sz w:val="24"/>
      <w:szCs w:val="24"/>
    </w:rPr>
  </w:style>
  <w:style w:type="paragraph" w:customStyle="1" w:styleId="11Normal02-SecondOnwardParagraph">
    <w:name w:val="11 Normal02-Second&amp;OnwardParagraph"/>
    <w:qFormat/>
    <w:pPr>
      <w:spacing w:before="400" w:after="400" w:line="360" w:lineRule="auto"/>
      <w:ind w:firstLine="720"/>
      <w:jc w:val="both"/>
    </w:pPr>
    <w:rPr>
      <w:rFonts w:eastAsia="MS Mincho" w:cs="Arial"/>
      <w:sz w:val="24"/>
      <w:szCs w:val="24"/>
    </w:rPr>
  </w:style>
  <w:style w:type="paragraph" w:customStyle="1" w:styleId="10Normal01-FirstParagraph">
    <w:name w:val="10 Normal01-FirstParagraph"/>
    <w:next w:val="11Normal02-SecondOnwardParagraph"/>
    <w:qFormat/>
    <w:pPr>
      <w:spacing w:before="400" w:after="400" w:line="360" w:lineRule="auto"/>
      <w:jc w:val="both"/>
    </w:pPr>
    <w:rPr>
      <w:rFonts w:eastAsia="MS Mincho"/>
      <w:sz w:val="24"/>
      <w:szCs w:val="24"/>
    </w:rPr>
  </w:style>
  <w:style w:type="paragraph" w:customStyle="1" w:styleId="09aLevel01">
    <w:name w:val="09a Level01"/>
    <w:next w:val="09bLevel02"/>
    <w:qFormat/>
    <w:pPr>
      <w:keepNext/>
      <w:tabs>
        <w:tab w:val="left" w:pos="1276"/>
        <w:tab w:val="left" w:pos="1332"/>
        <w:tab w:val="left" w:pos="1389"/>
        <w:tab w:val="left" w:pos="1418"/>
        <w:tab w:val="left" w:pos="1503"/>
        <w:tab w:val="left" w:pos="1559"/>
      </w:tabs>
      <w:spacing w:before="1320" w:after="760" w:line="360" w:lineRule="auto"/>
      <w:jc w:val="center"/>
      <w:outlineLvl w:val="0"/>
    </w:pPr>
    <w:rPr>
      <w:rFonts w:eastAsia="Calibri" w:cs="Arial"/>
      <w:b/>
      <w:caps/>
      <w:sz w:val="22"/>
      <w:lang w:val="ms-MY"/>
    </w:rPr>
  </w:style>
  <w:style w:type="paragraph" w:customStyle="1" w:styleId="09bLevel02">
    <w:name w:val="09b Level02"/>
    <w:next w:val="10Normal01-FirstParagraph"/>
    <w:qFormat/>
    <w:pPr>
      <w:keepNext/>
      <w:spacing w:before="400" w:after="400" w:line="360" w:lineRule="auto"/>
      <w:ind w:left="720" w:hanging="720"/>
      <w:jc w:val="both"/>
      <w:outlineLvl w:val="1"/>
    </w:pPr>
    <w:rPr>
      <w:rFonts w:eastAsia="Calibri" w:cs="Arial"/>
      <w:b/>
      <w:caps/>
      <w:sz w:val="22"/>
      <w:szCs w:val="22"/>
      <w:lang w:val="ms-MY"/>
    </w:rPr>
  </w:style>
  <w:style w:type="paragraph" w:customStyle="1" w:styleId="09cLevel03">
    <w:name w:val="09c Level03"/>
    <w:next w:val="10Normal01-FirstParagraph"/>
    <w:link w:val="09cLevel03Char"/>
    <w:qFormat/>
    <w:pPr>
      <w:keepNext/>
      <w:spacing w:before="400" w:after="400" w:line="360" w:lineRule="auto"/>
      <w:ind w:left="720" w:hanging="720"/>
      <w:jc w:val="both"/>
      <w:outlineLvl w:val="2"/>
    </w:pPr>
    <w:rPr>
      <w:rFonts w:eastAsia="Calibri" w:cs="Arial"/>
      <w:b/>
      <w:sz w:val="22"/>
      <w:szCs w:val="22"/>
    </w:rPr>
  </w:style>
  <w:style w:type="paragraph" w:customStyle="1" w:styleId="09dLevel04">
    <w:name w:val="09d Level04"/>
    <w:next w:val="10Normal01-FirstParagraph"/>
    <w:link w:val="09dLevel04Char"/>
    <w:qFormat/>
    <w:pPr>
      <w:keepNext/>
      <w:spacing w:before="400" w:after="400" w:line="360" w:lineRule="auto"/>
      <w:ind w:left="720" w:hanging="720"/>
      <w:jc w:val="both"/>
      <w:outlineLvl w:val="3"/>
    </w:pPr>
    <w:rPr>
      <w:rFonts w:eastAsia="Calibri" w:cs="Arial"/>
      <w:b/>
      <w:sz w:val="22"/>
      <w:szCs w:val="22"/>
    </w:rPr>
  </w:style>
  <w:style w:type="character" w:customStyle="1" w:styleId="09cLevel03Char">
    <w:name w:val="09c Level03 Char"/>
    <w:link w:val="09cLevel03"/>
    <w:qFormat/>
    <w:rPr>
      <w:rFonts w:ascii="Times New Roman" w:eastAsia="Calibri" w:hAnsi="Times New Roman" w:cs="Arial"/>
      <w:b/>
    </w:rPr>
  </w:style>
  <w:style w:type="paragraph" w:customStyle="1" w:styleId="09eLevel05">
    <w:name w:val="09e Level05"/>
    <w:next w:val="10Normal01-FirstParagraph"/>
    <w:qFormat/>
    <w:pPr>
      <w:keepNext/>
      <w:spacing w:before="400" w:after="400" w:line="360" w:lineRule="auto"/>
      <w:ind w:left="720" w:hanging="720"/>
      <w:jc w:val="both"/>
      <w:outlineLvl w:val="4"/>
    </w:pPr>
    <w:rPr>
      <w:rFonts w:eastAsia="Calibri" w:cs="Arial"/>
      <w:b/>
      <w:sz w:val="22"/>
      <w:szCs w:val="22"/>
    </w:rPr>
  </w:style>
  <w:style w:type="character" w:customStyle="1" w:styleId="fontstyle21">
    <w:name w:val="fontstyle21"/>
    <w:qFormat/>
    <w:rPr>
      <w:rFonts w:ascii="Palatino-Roman" w:hAnsi="Palatino-Roman" w:hint="default"/>
      <w:color w:val="231F20"/>
      <w:sz w:val="22"/>
      <w:szCs w:val="22"/>
    </w:rPr>
  </w:style>
  <w:style w:type="paragraph" w:customStyle="1" w:styleId="Bibliography1">
    <w:name w:val="Bibliography1"/>
    <w:basedOn w:val="Normal"/>
    <w:next w:val="Normal"/>
    <w:uiPriority w:val="37"/>
    <w:unhideWhenUsed/>
    <w:qFormat/>
    <w:rPr>
      <w:rFonts w:eastAsiaTheme="minorEastAsia"/>
      <w:lang w:val="en-GB" w:eastAsia="en-GB"/>
    </w:rPr>
  </w:style>
  <w:style w:type="character" w:customStyle="1" w:styleId="fc3">
    <w:name w:val="fc3"/>
    <w:basedOn w:val="DefaultParagraphFont"/>
    <w:qFormat/>
  </w:style>
  <w:style w:type="character" w:customStyle="1" w:styleId="ls1c">
    <w:name w:val="ls1c"/>
    <w:basedOn w:val="DefaultParagraphFont"/>
    <w:qFormat/>
  </w:style>
  <w:style w:type="character" w:customStyle="1" w:styleId="ls16">
    <w:name w:val="ls16"/>
    <w:basedOn w:val="DefaultParagraphFont"/>
    <w:qFormat/>
  </w:style>
  <w:style w:type="character" w:customStyle="1" w:styleId="fc2">
    <w:name w:val="fc2"/>
    <w:basedOn w:val="DefaultParagraphFont"/>
    <w:qFormat/>
  </w:style>
  <w:style w:type="character" w:customStyle="1" w:styleId="ws6c">
    <w:name w:val="ws6c"/>
    <w:basedOn w:val="DefaultParagraphFont"/>
    <w:qFormat/>
  </w:style>
  <w:style w:type="character" w:customStyle="1" w:styleId="ref-title">
    <w:name w:val="ref-title"/>
    <w:basedOn w:val="DefaultParagraphFont"/>
    <w:qFormat/>
  </w:style>
  <w:style w:type="character" w:customStyle="1" w:styleId="ref-vol">
    <w:name w:val="ref-vol"/>
    <w:basedOn w:val="DefaultParagraphFont"/>
    <w:qFormat/>
  </w:style>
  <w:style w:type="character" w:customStyle="1" w:styleId="citationref">
    <w:name w:val="citationref"/>
    <w:basedOn w:val="DefaultParagraphFont"/>
    <w:qFormat/>
  </w:style>
  <w:style w:type="character" w:customStyle="1" w:styleId="ff5">
    <w:name w:val="ff5"/>
    <w:basedOn w:val="DefaultParagraphFont"/>
    <w:qFormat/>
  </w:style>
  <w:style w:type="character" w:customStyle="1" w:styleId="ff9">
    <w:name w:val="ff9"/>
    <w:basedOn w:val="DefaultParagraphFont"/>
    <w:qFormat/>
  </w:style>
  <w:style w:type="character" w:customStyle="1" w:styleId="ls2">
    <w:name w:val="ls2"/>
    <w:basedOn w:val="DefaultParagraphFont"/>
    <w:qFormat/>
  </w:style>
  <w:style w:type="paragraph" w:customStyle="1" w:styleId="Revision1">
    <w:name w:val="Revision1"/>
    <w:hidden/>
    <w:uiPriority w:val="99"/>
    <w:qFormat/>
    <w:rPr>
      <w:rFonts w:asciiTheme="minorHAnsi" w:eastAsia="MS Mincho" w:hAnsiTheme="minorHAnsi" w:cstheme="minorBidi"/>
      <w:sz w:val="22"/>
      <w:szCs w:val="22"/>
    </w:rPr>
  </w:style>
  <w:style w:type="table" w:customStyle="1" w:styleId="ListTable6Colorful2">
    <w:name w:val="List Table 6 Colorful2"/>
    <w:basedOn w:val="TableNormal"/>
    <w:uiPriority w:val="51"/>
    <w:qFormat/>
    <w:rPr>
      <w:color w:val="000000" w:themeColor="text1"/>
      <w:lang w:val="en-MY"/>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TableNormal"/>
    <w:uiPriority w:val="42"/>
    <w:qFormat/>
    <w:rPr>
      <w:lang w:val="en-MY"/>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ighwire-cite-metadata-papdate">
    <w:name w:val="highwire-cite-metadata-papdate"/>
    <w:basedOn w:val="DefaultParagraphFont"/>
    <w:qFormat/>
  </w:style>
  <w:style w:type="character" w:customStyle="1" w:styleId="highwire-cite-metadata-doi">
    <w:name w:val="highwire-cite-metadata-doi"/>
    <w:basedOn w:val="DefaultParagraphFont"/>
    <w:qFormat/>
  </w:style>
  <w:style w:type="table" w:customStyle="1" w:styleId="PlainTable41">
    <w:name w:val="Plain Table 41"/>
    <w:basedOn w:val="TableNormal"/>
    <w:uiPriority w:val="44"/>
    <w:qFormat/>
    <w:rPr>
      <w:lang w:val="en-MY"/>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09dLevel04Char">
    <w:name w:val="09d Level04 Char"/>
    <w:link w:val="09dLevel04"/>
    <w:qFormat/>
    <w:rPr>
      <w:rFonts w:ascii="Times New Roman" w:eastAsia="Calibri" w:hAnsi="Times New Roman" w:cs="Arial"/>
      <w:b/>
    </w:rPr>
  </w:style>
  <w:style w:type="paragraph" w:customStyle="1" w:styleId="24bRujukan-Teks">
    <w:name w:val="24b Rujukan-Teks"/>
    <w:qFormat/>
    <w:pPr>
      <w:spacing w:after="240"/>
      <w:ind w:left="720" w:hanging="720"/>
      <w:jc w:val="both"/>
    </w:pPr>
    <w:rPr>
      <w:rFonts w:eastAsia="MS Mincho"/>
      <w:sz w:val="24"/>
      <w:szCs w:val="24"/>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unhideWhenUsed/>
    <w:qFormat/>
    <w:rPr>
      <w:color w:val="605E5C"/>
      <w:shd w:val="clear" w:color="auto" w:fill="E1DFDD"/>
    </w:rPr>
  </w:style>
  <w:style w:type="paragraph" w:customStyle="1" w:styleId="EndNoteBibliographyTitle">
    <w:name w:val="EndNote Bibliography Title"/>
    <w:basedOn w:val="Normal"/>
    <w:link w:val="EndNoteBibliographyTitleChar"/>
    <w:qFormat/>
    <w:pPr>
      <w:spacing w:after="0" w:line="276" w:lineRule="auto"/>
      <w:jc w:val="center"/>
    </w:pPr>
    <w:rPr>
      <w:rFonts w:ascii="Calibri" w:eastAsiaTheme="minorEastAsia" w:hAnsi="Calibri" w:cs="Calibri"/>
      <w:lang w:eastAsia="en-GB"/>
    </w:rPr>
  </w:style>
  <w:style w:type="character" w:customStyle="1" w:styleId="EndNoteBibliographyTitleChar">
    <w:name w:val="EndNote Bibliography Title Char"/>
    <w:basedOn w:val="DefaultParagraphFont"/>
    <w:link w:val="EndNoteBibliographyTitle"/>
    <w:qFormat/>
    <w:rPr>
      <w:rFonts w:ascii="Calibri" w:eastAsiaTheme="minorEastAsia" w:hAnsi="Calibri" w:cs="Calibri"/>
      <w:lang w:eastAsia="en-GB"/>
    </w:rPr>
  </w:style>
  <w:style w:type="paragraph" w:customStyle="1" w:styleId="EndNoteBibliography">
    <w:name w:val="EndNote Bibliography"/>
    <w:basedOn w:val="Normal"/>
    <w:link w:val="EndNoteBibliographyChar"/>
    <w:qFormat/>
    <w:pPr>
      <w:spacing w:after="200" w:line="240" w:lineRule="auto"/>
      <w:jc w:val="both"/>
    </w:pPr>
    <w:rPr>
      <w:rFonts w:ascii="Calibri" w:eastAsiaTheme="minorEastAsia" w:hAnsi="Calibri" w:cs="Calibri"/>
      <w:lang w:eastAsia="en-GB"/>
    </w:rPr>
  </w:style>
  <w:style w:type="character" w:customStyle="1" w:styleId="EndNoteBibliographyChar">
    <w:name w:val="EndNote Bibliography Char"/>
    <w:basedOn w:val="DefaultParagraphFont"/>
    <w:link w:val="EndNoteBibliography"/>
    <w:qFormat/>
    <w:rPr>
      <w:rFonts w:ascii="Calibri" w:eastAsiaTheme="minorEastAsia" w:hAnsi="Calibri" w:cs="Calibri"/>
      <w:lang w:eastAsia="en-GB"/>
    </w:rPr>
  </w:style>
  <w:style w:type="character" w:customStyle="1" w:styleId="ListParagraphChar">
    <w:name w:val="List Paragraph Char"/>
    <w:aliases w:val="List Paragraph 2 Char"/>
    <w:link w:val="ListParagraph"/>
    <w:uiPriority w:val="34"/>
    <w:qFormat/>
    <w:rPr>
      <w:rFonts w:ascii="Calibri" w:eastAsia="Calibri" w:hAnsi="Calibri" w:cs="Arial"/>
    </w:rPr>
  </w:style>
  <w:style w:type="character" w:customStyle="1" w:styleId="hps">
    <w:name w:val="hps"/>
    <w:qFormat/>
    <w:rPr>
      <w:rFonts w:cs="Times New Roman"/>
    </w:rPr>
  </w:style>
  <w:style w:type="paragraph" w:customStyle="1" w:styleId="ecxmsonormal">
    <w:name w:val="ecxmsonormal"/>
    <w:basedOn w:val="Normal"/>
    <w:qFormat/>
    <w:pPr>
      <w:spacing w:after="324" w:line="240" w:lineRule="auto"/>
    </w:pPr>
    <w:rPr>
      <w:rFonts w:ascii="Times New Roman" w:eastAsia="Times New Roman" w:hAnsi="Times New Roman" w:cs="Times New Roman"/>
      <w:sz w:val="24"/>
      <w:szCs w:val="24"/>
    </w:rPr>
  </w:style>
  <w:style w:type="character" w:customStyle="1" w:styleId="HeaderChar1">
    <w:name w:val="Header Char1"/>
    <w:basedOn w:val="DefaultParagraphFont"/>
    <w:uiPriority w:val="99"/>
    <w:semiHidden/>
    <w:qFormat/>
  </w:style>
  <w:style w:type="paragraph" w:customStyle="1" w:styleId="tez">
    <w:name w:val="tez"/>
    <w:basedOn w:val="Normal"/>
    <w:link w:val="tezChar"/>
    <w:qFormat/>
    <w:pPr>
      <w:bidi/>
      <w:spacing w:after="200" w:line="360" w:lineRule="auto"/>
      <w:ind w:right="851"/>
      <w:jc w:val="right"/>
    </w:pPr>
    <w:rPr>
      <w:rFonts w:ascii="Times New Roman" w:eastAsia="Calibri" w:hAnsi="Times New Roman" w:cs="Times New Roman"/>
      <w:bCs/>
      <w:color w:val="000000"/>
      <w:sz w:val="24"/>
      <w:szCs w:val="24"/>
      <w:lang w:bidi="ar-JO"/>
    </w:rPr>
  </w:style>
  <w:style w:type="character" w:customStyle="1" w:styleId="tezChar">
    <w:name w:val="tez Char"/>
    <w:basedOn w:val="DefaultParagraphFont"/>
    <w:link w:val="tez"/>
    <w:qFormat/>
    <w:rPr>
      <w:rFonts w:ascii="Times New Roman" w:eastAsia="Calibri" w:hAnsi="Times New Roman" w:cs="Times New Roman"/>
      <w:bCs/>
      <w:color w:val="000000"/>
      <w:sz w:val="24"/>
      <w:szCs w:val="24"/>
      <w:lang w:bidi="ar-JO"/>
    </w:rPr>
  </w:style>
  <w:style w:type="character" w:customStyle="1" w:styleId="tm-p-em">
    <w:name w:val="tm-p-em"/>
    <w:basedOn w:val="DefaultParagraphFont"/>
    <w:qFormat/>
  </w:style>
  <w:style w:type="character" w:customStyle="1" w:styleId="tm-p-">
    <w:name w:val="tm-p-"/>
    <w:basedOn w:val="DefaultParagraphFont"/>
    <w:qFormat/>
  </w:style>
  <w:style w:type="character" w:customStyle="1" w:styleId="longtext">
    <w:name w:val="long_text"/>
    <w:basedOn w:val="DefaultParagraphFont"/>
    <w:qFormat/>
  </w:style>
  <w:style w:type="character" w:customStyle="1" w:styleId="ff3">
    <w:name w:val="ff3"/>
    <w:basedOn w:val="DefaultParagraphFont"/>
    <w:qFormat/>
  </w:style>
  <w:style w:type="character" w:customStyle="1" w:styleId="ls19">
    <w:name w:val="ls19"/>
    <w:basedOn w:val="DefaultParagraphFont"/>
    <w:qFormat/>
  </w:style>
  <w:style w:type="character" w:customStyle="1" w:styleId="fs2">
    <w:name w:val="fs2"/>
    <w:basedOn w:val="DefaultParagraphFont"/>
    <w:qFormat/>
  </w:style>
  <w:style w:type="character" w:customStyle="1" w:styleId="ls11">
    <w:name w:val="ls11"/>
    <w:basedOn w:val="DefaultParagraphFont"/>
    <w:qFormat/>
  </w:style>
  <w:style w:type="character" w:customStyle="1" w:styleId="lsc">
    <w:name w:val="lsc"/>
    <w:basedOn w:val="DefaultParagraphFont"/>
    <w:qFormat/>
  </w:style>
  <w:style w:type="character" w:customStyle="1" w:styleId="ls1b">
    <w:name w:val="ls1b"/>
    <w:basedOn w:val="DefaultParagraphFont"/>
    <w:qFormat/>
  </w:style>
  <w:style w:type="character" w:customStyle="1" w:styleId="ls1a">
    <w:name w:val="ls1a"/>
    <w:basedOn w:val="DefaultParagraphFont"/>
    <w:qFormat/>
  </w:style>
  <w:style w:type="character" w:customStyle="1" w:styleId="ls7">
    <w:name w:val="ls7"/>
    <w:basedOn w:val="DefaultParagraphFont"/>
    <w:qFormat/>
  </w:style>
  <w:style w:type="character" w:customStyle="1" w:styleId="ls4">
    <w:name w:val="ls4"/>
    <w:basedOn w:val="DefaultParagraphFont"/>
    <w:qFormat/>
  </w:style>
  <w:style w:type="character" w:customStyle="1" w:styleId="ls14">
    <w:name w:val="ls14"/>
    <w:basedOn w:val="DefaultParagraphFont"/>
    <w:qFormat/>
  </w:style>
  <w:style w:type="character" w:customStyle="1" w:styleId="ls6">
    <w:name w:val="ls6"/>
    <w:basedOn w:val="DefaultParagraphFont"/>
    <w:qFormat/>
  </w:style>
  <w:style w:type="character" w:customStyle="1" w:styleId="ls9">
    <w:name w:val="ls9"/>
    <w:basedOn w:val="DefaultParagraphFont"/>
    <w:qFormat/>
  </w:style>
  <w:style w:type="character" w:customStyle="1" w:styleId="ff1">
    <w:name w:val="ff1"/>
    <w:basedOn w:val="DefaultParagraphFont"/>
    <w:qFormat/>
  </w:style>
  <w:style w:type="character" w:customStyle="1" w:styleId="ls17">
    <w:name w:val="ls17"/>
    <w:basedOn w:val="DefaultParagraphFont"/>
    <w:qFormat/>
  </w:style>
  <w:style w:type="character" w:customStyle="1" w:styleId="ls5">
    <w:name w:val="ls5"/>
    <w:basedOn w:val="DefaultParagraphFont"/>
    <w:qFormat/>
  </w:style>
  <w:style w:type="character" w:customStyle="1" w:styleId="ls32">
    <w:name w:val="ls32"/>
    <w:basedOn w:val="DefaultParagraphFont"/>
    <w:qFormat/>
  </w:style>
  <w:style w:type="paragraph" w:customStyle="1" w:styleId="MDPI41tablecaption">
    <w:name w:val="MDPI_4.1_table_caption"/>
    <w:basedOn w:val="Normal"/>
    <w:qFormat/>
    <w:pPr>
      <w:adjustRightInd w:val="0"/>
      <w:snapToGrid w:val="0"/>
      <w:spacing w:before="240" w:after="120" w:line="260" w:lineRule="atLeast"/>
      <w:ind w:left="425" w:right="425"/>
      <w:jc w:val="both"/>
    </w:pPr>
    <w:rPr>
      <w:rFonts w:ascii="Palatino Linotype" w:eastAsia="Times New Roman" w:hAnsi="Palatino Linotype" w:cs="Arial"/>
      <w:color w:val="000000"/>
      <w:sz w:val="18"/>
      <w:lang w:eastAsia="de-DE" w:bidi="en-US"/>
    </w:rPr>
  </w:style>
  <w:style w:type="paragraph" w:customStyle="1" w:styleId="MDPI42tablebody">
    <w:name w:val="MDPI_4.2_table_body"/>
    <w:qFormat/>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31text">
    <w:name w:val="MDPI_3.1_text"/>
    <w:qFormat/>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character" w:customStyle="1" w:styleId="tgc">
    <w:name w:val="_tgc"/>
    <w:qFormat/>
    <w:rPr>
      <w:rFonts w:cs="Times New Roman"/>
    </w:rPr>
  </w:style>
  <w:style w:type="paragraph" w:customStyle="1" w:styleId="References0">
    <w:name w:val="References"/>
    <w:basedOn w:val="Normal"/>
    <w:link w:val="ReferencesChar"/>
    <w:qFormat/>
    <w:pPr>
      <w:spacing w:before="120" w:after="0" w:line="360" w:lineRule="auto"/>
      <w:ind w:left="720" w:hanging="720"/>
      <w:contextualSpacing/>
    </w:pPr>
    <w:rPr>
      <w:rFonts w:ascii="Palatino Linotype" w:eastAsia="Calibri" w:hAnsi="Palatino Linotype" w:cs="Times New Roman"/>
      <w:sz w:val="20"/>
      <w:szCs w:val="24"/>
      <w:lang w:val="en-GB" w:eastAsia="en-GB"/>
    </w:rPr>
  </w:style>
  <w:style w:type="character" w:customStyle="1" w:styleId="grame">
    <w:name w:val="grame"/>
    <w:basedOn w:val="DefaultParagraphFont"/>
    <w:qFormat/>
  </w:style>
  <w:style w:type="character" w:customStyle="1" w:styleId="title6">
    <w:name w:val="title6"/>
    <w:qFormat/>
    <w:rPr>
      <w:rFonts w:cs="Times New Roman"/>
    </w:rPr>
  </w:style>
  <w:style w:type="paragraph" w:customStyle="1" w:styleId="0heading1">
    <w:name w:val="0_heading1"/>
    <w:basedOn w:val="Heading1"/>
    <w:next w:val="Normal"/>
    <w:qFormat/>
    <w:pPr>
      <w:numPr>
        <w:numId w:val="7"/>
      </w:numPr>
      <w:tabs>
        <w:tab w:val="clear" w:pos="567"/>
        <w:tab w:val="left" w:pos="360"/>
      </w:tabs>
      <w:suppressAutoHyphens/>
      <w:overflowPunct w:val="0"/>
      <w:autoSpaceDE w:val="0"/>
      <w:autoSpaceDN w:val="0"/>
      <w:adjustRightInd w:val="0"/>
      <w:spacing w:before="360" w:after="240" w:line="300" w:lineRule="atLeast"/>
      <w:ind w:left="0" w:firstLine="227"/>
      <w:textAlignment w:val="baseline"/>
    </w:pPr>
    <w:rPr>
      <w:rFonts w:ascii="Times New Roman" w:eastAsia="Times New Roman" w:hAnsi="Times New Roman" w:cs="Times New Roman"/>
      <w:color w:val="auto"/>
      <w:sz w:val="24"/>
      <w:szCs w:val="20"/>
      <w:lang w:eastAsia="de-DE" w:bidi="ar-SA"/>
    </w:rPr>
  </w:style>
  <w:style w:type="paragraph" w:customStyle="1" w:styleId="0heading2">
    <w:name w:val="0_heading2"/>
    <w:basedOn w:val="Heading2"/>
    <w:next w:val="Normal"/>
    <w:qFormat/>
    <w:pPr>
      <w:numPr>
        <w:ilvl w:val="1"/>
        <w:numId w:val="7"/>
      </w:numPr>
      <w:tabs>
        <w:tab w:val="clear" w:pos="567"/>
        <w:tab w:val="left" w:pos="360"/>
      </w:tabs>
      <w:suppressAutoHyphens/>
      <w:overflowPunct w:val="0"/>
      <w:autoSpaceDE w:val="0"/>
      <w:autoSpaceDN w:val="0"/>
      <w:adjustRightInd w:val="0"/>
      <w:spacing w:before="360" w:after="160" w:line="240" w:lineRule="atLeast"/>
      <w:ind w:left="0" w:firstLine="227"/>
      <w:jc w:val="both"/>
      <w:textAlignment w:val="baseline"/>
    </w:pPr>
    <w:rPr>
      <w:rFonts w:ascii="Times New Roman" w:eastAsia="Times New Roman" w:hAnsi="Times New Roman" w:cs="Times New Roman"/>
      <w:iCs/>
      <w:color w:val="auto"/>
      <w:sz w:val="20"/>
      <w:szCs w:val="20"/>
      <w:lang w:eastAsia="de-DE" w:bidi="ar-SA"/>
    </w:rPr>
  </w:style>
  <w:style w:type="table" w:customStyle="1" w:styleId="PlainTable22">
    <w:name w:val="Plain Table 22"/>
    <w:basedOn w:val="TableNormal"/>
    <w:uiPriority w:val="42"/>
    <w:qFormat/>
    <w:rPr>
      <w:rFonts w:ascii="Calibri" w:eastAsia="Calibri" w:hAnsi="Calibri" w:cs="Arial"/>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99"/>
    <w:qFormat/>
    <w:rPr>
      <w:rFonts w:ascii="Calibri" w:eastAsia="Calibri" w:hAnsi="Calibri" w:cs="Arial"/>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21">
    <w:name w:val="Grid Table 21"/>
    <w:basedOn w:val="TableNormal"/>
    <w:uiPriority w:val="47"/>
    <w:qFormat/>
    <w:rPr>
      <w:rFonts w:ascii="Calibri" w:eastAsia="Calibri" w:hAnsi="Calibri" w:cs="Arial"/>
    </w:rPr>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
    <w:name w:val="Table Grid1"/>
    <w:basedOn w:val="TableNormal"/>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qFormat/>
    <w:pPr>
      <w:spacing w:line="251" w:lineRule="atLeast"/>
    </w:pPr>
    <w:rPr>
      <w:rFonts w:ascii="NewtonC" w:eastAsiaTheme="minorHAnsi" w:hAnsi="NewtonC" w:cstheme="minorBidi"/>
      <w:color w:val="auto"/>
    </w:rPr>
  </w:style>
  <w:style w:type="paragraph" w:customStyle="1" w:styleId="Pa5">
    <w:name w:val="Pa5"/>
    <w:basedOn w:val="Default"/>
    <w:next w:val="Default"/>
    <w:uiPriority w:val="99"/>
    <w:qFormat/>
    <w:pPr>
      <w:spacing w:line="211" w:lineRule="atLeast"/>
    </w:pPr>
    <w:rPr>
      <w:rFonts w:ascii="NewtonC" w:eastAsiaTheme="minorHAnsi" w:hAnsi="NewtonC" w:cstheme="minorBidi"/>
      <w:color w:val="auto"/>
    </w:rPr>
  </w:style>
  <w:style w:type="character" w:customStyle="1" w:styleId="UnresolvedMention20">
    <w:name w:val="Unresolved Mention2"/>
    <w:basedOn w:val="DefaultParagraphFont"/>
    <w:uiPriority w:val="99"/>
    <w:semiHidden/>
    <w:unhideWhenUsed/>
    <w:qFormat/>
    <w:rPr>
      <w:color w:val="605E5C"/>
      <w:shd w:val="clear" w:color="auto" w:fill="E1DFDD"/>
    </w:rPr>
  </w:style>
  <w:style w:type="character" w:customStyle="1" w:styleId="Heading5Char1">
    <w:name w:val="Heading 5 Char1"/>
    <w:basedOn w:val="DefaultParagraphFont"/>
    <w:uiPriority w:val="9"/>
    <w:semiHidden/>
    <w:qFormat/>
    <w:rPr>
      <w:rFonts w:asciiTheme="majorHAnsi" w:eastAsiaTheme="majorEastAsia" w:hAnsiTheme="majorHAnsi" w:cstheme="majorBidi"/>
      <w:color w:val="2F5496" w:themeColor="accent1" w:themeShade="BF"/>
    </w:rPr>
  </w:style>
  <w:style w:type="character" w:customStyle="1" w:styleId="BodyText2Char">
    <w:name w:val="Body Text 2 Char"/>
    <w:aliases w:val="Table标题 Char"/>
    <w:basedOn w:val="DefaultParagraphFont"/>
    <w:link w:val="BodyText2"/>
    <w:qFormat/>
    <w:rPr>
      <w:rFonts w:ascii="Calibri" w:eastAsia="Calibri" w:hAnsi="Calibri" w:cs="Times New Roman"/>
      <w:lang w:val="en-GB"/>
    </w:rPr>
  </w:style>
  <w:style w:type="character" w:customStyle="1" w:styleId="noprint">
    <w:name w:val="noprint"/>
    <w:basedOn w:val="DefaultParagraphFont"/>
    <w:qFormat/>
  </w:style>
  <w:style w:type="character" w:customStyle="1" w:styleId="toctoggle">
    <w:name w:val="toctoggle"/>
    <w:basedOn w:val="DefaultParagraphFont"/>
    <w:qFormat/>
  </w:style>
  <w:style w:type="character" w:customStyle="1" w:styleId="tocnumber">
    <w:name w:val="tocnumber"/>
    <w:basedOn w:val="DefaultParagraphFont"/>
    <w:qFormat/>
  </w:style>
  <w:style w:type="character" w:customStyle="1" w:styleId="toctext">
    <w:name w:val="toctext"/>
    <w:basedOn w:val="DefaultParagraphFont"/>
    <w:qFormat/>
  </w:style>
  <w:style w:type="character" w:customStyle="1" w:styleId="editsection">
    <w:name w:val="editsection"/>
    <w:basedOn w:val="DefaultParagraphFont"/>
    <w:qFormat/>
  </w:style>
  <w:style w:type="character" w:customStyle="1" w:styleId="mw-headline">
    <w:name w:val="mw-headline"/>
    <w:basedOn w:val="DefaultParagraphFont"/>
    <w:qFormat/>
  </w:style>
  <w:style w:type="character" w:customStyle="1" w:styleId="metadata">
    <w:name w:val="metadata"/>
    <w:basedOn w:val="DefaultParagraphFont"/>
    <w:qFormat/>
  </w:style>
  <w:style w:type="character" w:customStyle="1" w:styleId="texhtml">
    <w:name w:val="texhtml"/>
    <w:basedOn w:val="DefaultParagraphFont"/>
    <w:qFormat/>
  </w:style>
  <w:style w:type="character" w:customStyle="1" w:styleId="citation">
    <w:name w:val="citation"/>
    <w:basedOn w:val="DefaultParagraphFont"/>
    <w:qFormat/>
  </w:style>
  <w:style w:type="character" w:customStyle="1" w:styleId="z3988">
    <w:name w:val="z3988"/>
    <w:basedOn w:val="DefaultParagraphFont"/>
    <w:qFormat/>
  </w:style>
  <w:style w:type="character" w:customStyle="1" w:styleId="reference-accessdate">
    <w:name w:val="reference-accessdate"/>
    <w:basedOn w:val="DefaultParagraphFont"/>
    <w:qFormat/>
  </w:style>
  <w:style w:type="character" w:customStyle="1" w:styleId="z-TopofFormChar">
    <w:name w:val="z-Top of Form Char"/>
    <w:basedOn w:val="DefaultParagraphFont"/>
    <w:link w:val="z-TopofForm1"/>
    <w:uiPriority w:val="99"/>
    <w:semiHidden/>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qFormat/>
    <w:rPr>
      <w:rFonts w:ascii="Arial" w:hAnsi="Arial" w:cs="Arial"/>
      <w:vanish/>
      <w:sz w:val="16"/>
      <w:szCs w:val="16"/>
    </w:rPr>
  </w:style>
  <w:style w:type="character" w:customStyle="1" w:styleId="z-BottomofFormChar">
    <w:name w:val="z-Bottom of Form Char"/>
    <w:basedOn w:val="DefaultParagraphFont"/>
    <w:link w:val="z-BottomofForm1"/>
    <w:uiPriority w:val="99"/>
    <w:qFormat/>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qFormat/>
    <w:rPr>
      <w:rFonts w:ascii="Arial" w:hAnsi="Arial" w:cs="Arial"/>
      <w:vanish/>
      <w:sz w:val="16"/>
      <w:szCs w:val="16"/>
    </w:rPr>
  </w:style>
  <w:style w:type="paragraph" w:customStyle="1" w:styleId="Title1">
    <w:name w:val="Title1"/>
    <w:basedOn w:val="Normal"/>
    <w:qFormat/>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information">
    <w:name w:val="information"/>
    <w:basedOn w:val="Normal"/>
    <w:qFormat/>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info">
    <w:name w:val="info"/>
    <w:basedOn w:val="DefaultParagraphFont"/>
    <w:qFormat/>
  </w:style>
  <w:style w:type="paragraph" w:customStyle="1" w:styleId="indentb">
    <w:name w:val="indentb"/>
    <w:basedOn w:val="Normal"/>
    <w:qFormat/>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Footer1">
    <w:name w:val="Footer1"/>
    <w:basedOn w:val="Normal"/>
    <w:qFormat/>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Style">
    <w:name w:val="Style"/>
    <w:qFormat/>
    <w:pPr>
      <w:widowControl w:val="0"/>
      <w:autoSpaceDE w:val="0"/>
      <w:autoSpaceDN w:val="0"/>
      <w:adjustRightInd w:val="0"/>
    </w:pPr>
    <w:rPr>
      <w:rFonts w:eastAsia="Times New Roman"/>
      <w:sz w:val="24"/>
      <w:szCs w:val="24"/>
    </w:rPr>
  </w:style>
  <w:style w:type="paragraph" w:customStyle="1" w:styleId="msolistparagraph0">
    <w:name w:val="msolistparagraph"/>
    <w:basedOn w:val="Normal"/>
    <w:qFormat/>
    <w:pPr>
      <w:spacing w:after="200" w:line="276" w:lineRule="auto"/>
      <w:ind w:left="720"/>
      <w:contextualSpacing/>
    </w:pPr>
    <w:rPr>
      <w:rFonts w:ascii="Calibri" w:eastAsia="Calibri" w:hAnsi="Calibri" w:cs="Times New Roman"/>
      <w:lang w:val="en-GB"/>
    </w:rPr>
  </w:style>
  <w:style w:type="paragraph" w:customStyle="1" w:styleId="pbody">
    <w:name w:val="pbody"/>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quation">
    <w:name w:val="pequation"/>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picture">
    <w:name w:val="ppictur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qFormat/>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5">
    <w:name w:val="xl65"/>
    <w:basedOn w:val="Normal"/>
    <w:qFormat/>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6">
    <w:name w:val="xl66"/>
    <w:basedOn w:val="Normal"/>
    <w:qFormat/>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qFormat/>
    <w:pPr>
      <w:spacing w:before="100" w:beforeAutospacing="1" w:after="100" w:afterAutospacing="1" w:line="240" w:lineRule="auto"/>
      <w:ind w:firstLineChars="400" w:firstLine="400"/>
    </w:pPr>
    <w:rPr>
      <w:rFonts w:ascii="Times New Roman" w:eastAsia="Times New Roman" w:hAnsi="Times New Roman" w:cs="Times New Roman"/>
      <w:b/>
      <w:bCs/>
      <w:sz w:val="24"/>
      <w:szCs w:val="24"/>
    </w:rPr>
  </w:style>
  <w:style w:type="character" w:customStyle="1" w:styleId="tlid-translation">
    <w:name w:val="tlid-translation"/>
    <w:basedOn w:val="DefaultParagraphFont"/>
    <w:qFormat/>
    <w:rPr>
      <w:rFonts w:ascii="Calibri" w:eastAsia="Calibri" w:hAnsi="Calibri" w:cs="Arial"/>
    </w:rPr>
  </w:style>
  <w:style w:type="table" w:customStyle="1" w:styleId="GridTable1Light2">
    <w:name w:val="Grid Table 1 Light2"/>
    <w:basedOn w:val="TableNormal"/>
    <w:uiPriority w:val="46"/>
    <w:qFormat/>
    <w:rPr>
      <w:rFonts w:ascii="Calibri" w:eastAsia="Calibri" w:hAnsi="Calibri" w:cs="SimSun"/>
      <w:lang w:val="en-MY"/>
    </w:rPr>
    <w:tblPr>
      <w:tblBorders>
        <w:bottom w:val="single" w:sz="4" w:space="0" w:color="000000" w:themeColor="text1"/>
      </w:tblBorders>
    </w:tblPr>
    <w:tblStylePr w:type="firstRow">
      <w:rPr>
        <w:b/>
        <w:bCs/>
      </w:rPr>
      <w:tblPr/>
      <w:tcPr>
        <w:tcBorders>
          <w:top w:val="single" w:sz="12" w:space="0" w:color="auto"/>
          <w:bottom w:val="single" w:sz="12" w:space="0" w:color="auto"/>
        </w:tcBorders>
      </w:tcPr>
    </w:tblStylePr>
    <w:tblStylePr w:type="lastRow">
      <w:rPr>
        <w:b/>
        <w:bCs w:val="0"/>
        <w:iCs w:val="0"/>
      </w:rPr>
      <w:tblPr/>
      <w:tcPr>
        <w:tcBorders>
          <w:top w:val="double" w:sz="18" w:space="0" w:color="auto"/>
        </w:tcBorders>
      </w:tcPr>
    </w:tblStylePr>
    <w:tblStylePr w:type="firstCol">
      <w:rPr>
        <w:b w:val="0"/>
        <w:bCs/>
      </w:rPr>
    </w:tblStylePr>
    <w:tblStylePr w:type="lastCol">
      <w:rPr>
        <w:b/>
        <w:bCs/>
      </w:rPr>
    </w:tblStylePr>
  </w:style>
  <w:style w:type="character" w:customStyle="1" w:styleId="CaptionChar">
    <w:name w:val="Caption Char"/>
    <w:basedOn w:val="DefaultParagraphFont"/>
    <w:link w:val="Caption"/>
    <w:uiPriority w:val="35"/>
    <w:qFormat/>
    <w:rPr>
      <w:rFonts w:ascii="Times New Roman" w:eastAsia="Times New Roman" w:hAnsi="Times New Roman" w:cs="Times New Roman"/>
      <w:b/>
      <w:bCs/>
    </w:rPr>
  </w:style>
  <w:style w:type="character" w:customStyle="1" w:styleId="ilfuvd">
    <w:name w:val="ilfuvd"/>
    <w:basedOn w:val="DefaultParagraphFont"/>
    <w:qFormat/>
  </w:style>
  <w:style w:type="character" w:customStyle="1" w:styleId="persname">
    <w:name w:val="persname"/>
    <w:qFormat/>
  </w:style>
  <w:style w:type="character" w:customStyle="1" w:styleId="surname">
    <w:name w:val="surname"/>
    <w:qFormat/>
  </w:style>
  <w:style w:type="character" w:customStyle="1" w:styleId="forename">
    <w:name w:val="forename"/>
    <w:qFormat/>
  </w:style>
  <w:style w:type="character" w:customStyle="1" w:styleId="Date1">
    <w:name w:val="Date1"/>
    <w:qFormat/>
  </w:style>
  <w:style w:type="character" w:customStyle="1" w:styleId="pubplace">
    <w:name w:val="pubplace"/>
    <w:qFormat/>
  </w:style>
  <w:style w:type="character" w:customStyle="1" w:styleId="publisher">
    <w:name w:val="publisher"/>
    <w:qFormat/>
  </w:style>
  <w:style w:type="character" w:customStyle="1" w:styleId="nlmyear">
    <w:name w:val="nlm_year"/>
    <w:basedOn w:val="DefaultParagraphFont"/>
    <w:qFormat/>
  </w:style>
  <w:style w:type="character" w:customStyle="1" w:styleId="nlmarticle-title">
    <w:name w:val="nlm_article-title"/>
    <w:basedOn w:val="DefaultParagraphFont"/>
    <w:qFormat/>
  </w:style>
  <w:style w:type="character" w:customStyle="1" w:styleId="nlmfpage">
    <w:name w:val="nlm_fpage"/>
    <w:basedOn w:val="DefaultParagraphFont"/>
    <w:qFormat/>
  </w:style>
  <w:style w:type="character" w:customStyle="1" w:styleId="nlmlpage">
    <w:name w:val="nlm_lpage"/>
    <w:basedOn w:val="DefaultParagraphFont"/>
    <w:qFormat/>
  </w:style>
  <w:style w:type="character" w:customStyle="1" w:styleId="ref-google">
    <w:name w:val="ref-google"/>
    <w:basedOn w:val="DefaultParagraphFont"/>
    <w:qFormat/>
  </w:style>
  <w:style w:type="character" w:customStyle="1" w:styleId="ref-xlink">
    <w:name w:val="ref-xlink"/>
    <w:basedOn w:val="DefaultParagraphFont"/>
    <w:qFormat/>
  </w:style>
  <w:style w:type="character" w:customStyle="1" w:styleId="nlmpublisher-loc">
    <w:name w:val="nlm_publisher-loc"/>
    <w:basedOn w:val="DefaultParagraphFont"/>
    <w:qFormat/>
  </w:style>
  <w:style w:type="paragraph" w:customStyle="1" w:styleId="BodyA">
    <w:name w:val="Body A"/>
    <w:qFormat/>
    <w:rPr>
      <w:rFonts w:ascii="Helvetica Neue" w:eastAsia="Arial Unicode MS" w:hAnsi="Helvetica Neue" w:cs="Arial Unicode MS"/>
      <w:color w:val="000000"/>
      <w:sz w:val="22"/>
      <w:szCs w:val="22"/>
      <w:u w:color="000000"/>
    </w:rPr>
  </w:style>
  <w:style w:type="paragraph" w:customStyle="1" w:styleId="BodyB">
    <w:name w:val="Body B"/>
    <w:qFormat/>
    <w:rPr>
      <w:rFonts w:eastAsia="Arial Unicode MS" w:cs="Arial Unicode MS"/>
      <w:color w:val="000000"/>
      <w:sz w:val="24"/>
      <w:szCs w:val="24"/>
      <w:u w:color="000000"/>
    </w:rPr>
  </w:style>
  <w:style w:type="paragraph" w:customStyle="1" w:styleId="TableStyle2A">
    <w:name w:val="Table Style 2 A"/>
    <w:qFormat/>
    <w:rPr>
      <w:rFonts w:ascii="Helvetica Neue" w:eastAsia="Arial Unicode MS" w:hAnsi="Helvetica Neue" w:cs="Arial Unicode MS"/>
      <w:color w:val="000000"/>
      <w:u w:color="000000"/>
    </w:rPr>
  </w:style>
  <w:style w:type="character" w:customStyle="1" w:styleId="Heading6Char">
    <w:name w:val="Heading 6 Char"/>
    <w:basedOn w:val="DefaultParagraphFont"/>
    <w:link w:val="Heading6"/>
    <w:uiPriority w:val="9"/>
    <w:qFormat/>
    <w:rPr>
      <w:rFonts w:ascii="Times New Roman" w:eastAsia="Calibri" w:hAnsi="Times New Roman" w:cs="Calibri"/>
      <w:b/>
      <w:sz w:val="20"/>
      <w:szCs w:val="20"/>
      <w:lang w:val="en-GB" w:eastAsia="en-MY"/>
    </w:rPr>
  </w:style>
  <w:style w:type="character" w:customStyle="1" w:styleId="TitleChar">
    <w:name w:val="Title Char"/>
    <w:basedOn w:val="DefaultParagraphFont"/>
    <w:link w:val="Title"/>
    <w:uiPriority w:val="10"/>
    <w:qFormat/>
    <w:rPr>
      <w:rFonts w:ascii="Times New Roman" w:eastAsia="Calibri" w:hAnsi="Times New Roman" w:cs="Calibri"/>
      <w:b/>
      <w:sz w:val="72"/>
      <w:szCs w:val="72"/>
      <w:lang w:val="en-GB" w:eastAsia="en-MY"/>
    </w:rPr>
  </w:style>
  <w:style w:type="character" w:customStyle="1" w:styleId="SubtitleChar">
    <w:name w:val="Subtitle Char"/>
    <w:basedOn w:val="DefaultParagraphFont"/>
    <w:link w:val="Subtitle"/>
    <w:uiPriority w:val="11"/>
    <w:qFormat/>
    <w:rPr>
      <w:rFonts w:ascii="Georgia" w:eastAsia="Georgia" w:hAnsi="Georgia" w:cs="Georgia"/>
      <w:i/>
      <w:color w:val="666666"/>
      <w:sz w:val="48"/>
      <w:szCs w:val="48"/>
      <w:lang w:val="en-GB" w:eastAsia="en-MY"/>
    </w:rPr>
  </w:style>
  <w:style w:type="table" w:customStyle="1" w:styleId="10">
    <w:name w:val="10"/>
    <w:basedOn w:val="TableNormal"/>
    <w:qFormat/>
    <w:pPr>
      <w:jc w:val="both"/>
    </w:pPr>
    <w:rPr>
      <w:rFonts w:ascii="Calibri" w:eastAsia="Calibri" w:hAnsi="Calibri" w:cs="Calibri"/>
      <w:sz w:val="24"/>
      <w:szCs w:val="24"/>
      <w:lang w:val="en-AU" w:eastAsia="en-MY"/>
    </w:rPr>
    <w:tblPr/>
  </w:style>
  <w:style w:type="table" w:customStyle="1" w:styleId="9">
    <w:name w:val="9"/>
    <w:basedOn w:val="TableNormal"/>
    <w:qFormat/>
    <w:pPr>
      <w:jc w:val="both"/>
    </w:pPr>
    <w:rPr>
      <w:rFonts w:ascii="Calibri" w:eastAsia="Calibri" w:hAnsi="Calibri" w:cs="Calibri"/>
      <w:sz w:val="24"/>
      <w:szCs w:val="24"/>
      <w:lang w:val="en-AU" w:eastAsia="en-MY"/>
    </w:rPr>
    <w:tblPr>
      <w:tblCellMar>
        <w:left w:w="93" w:type="dxa"/>
        <w:right w:w="93" w:type="dxa"/>
      </w:tblCellMar>
    </w:tblPr>
  </w:style>
  <w:style w:type="table" w:customStyle="1" w:styleId="8">
    <w:name w:val="8"/>
    <w:basedOn w:val="TableNormal"/>
    <w:pPr>
      <w:jc w:val="both"/>
    </w:pPr>
    <w:rPr>
      <w:rFonts w:ascii="Calibri" w:eastAsia="Calibri" w:hAnsi="Calibri" w:cs="Calibri"/>
      <w:sz w:val="24"/>
      <w:szCs w:val="24"/>
      <w:lang w:val="en-AU" w:eastAsia="en-MY"/>
    </w:rPr>
    <w:tblPr/>
  </w:style>
  <w:style w:type="table" w:customStyle="1" w:styleId="7">
    <w:name w:val="7"/>
    <w:basedOn w:val="TableNormal"/>
    <w:pPr>
      <w:jc w:val="both"/>
    </w:pPr>
    <w:rPr>
      <w:rFonts w:ascii="Calibri" w:eastAsia="Calibri" w:hAnsi="Calibri" w:cs="Calibri"/>
      <w:sz w:val="24"/>
      <w:szCs w:val="24"/>
      <w:lang w:val="en-AU" w:eastAsia="en-MY"/>
    </w:rPr>
    <w:tblPr/>
  </w:style>
  <w:style w:type="table" w:customStyle="1" w:styleId="6">
    <w:name w:val="6"/>
    <w:basedOn w:val="TableNormal"/>
    <w:pPr>
      <w:jc w:val="both"/>
    </w:pPr>
    <w:rPr>
      <w:rFonts w:ascii="Calibri" w:eastAsia="Calibri" w:hAnsi="Calibri" w:cs="Calibri"/>
      <w:sz w:val="24"/>
      <w:szCs w:val="24"/>
      <w:lang w:val="en-AU" w:eastAsia="en-MY"/>
    </w:rPr>
    <w:tblPr/>
  </w:style>
  <w:style w:type="table" w:customStyle="1" w:styleId="5">
    <w:name w:val="5"/>
    <w:basedOn w:val="TableNormal"/>
    <w:pPr>
      <w:jc w:val="both"/>
    </w:pPr>
    <w:rPr>
      <w:rFonts w:ascii="Calibri" w:eastAsia="Calibri" w:hAnsi="Calibri" w:cs="Calibri"/>
      <w:sz w:val="24"/>
      <w:szCs w:val="24"/>
      <w:lang w:val="en-AU" w:eastAsia="en-MY"/>
    </w:rPr>
    <w:tblPr/>
  </w:style>
  <w:style w:type="table" w:customStyle="1" w:styleId="4">
    <w:name w:val="4"/>
    <w:basedOn w:val="TableNormal"/>
    <w:pPr>
      <w:jc w:val="both"/>
    </w:pPr>
    <w:rPr>
      <w:rFonts w:ascii="Calibri" w:eastAsia="Calibri" w:hAnsi="Calibri" w:cs="Calibri"/>
      <w:sz w:val="24"/>
      <w:szCs w:val="24"/>
      <w:lang w:val="en-AU" w:eastAsia="en-MY"/>
    </w:rPr>
    <w:tblPr/>
  </w:style>
  <w:style w:type="table" w:customStyle="1" w:styleId="3">
    <w:name w:val="3"/>
    <w:basedOn w:val="TableNormal"/>
    <w:pPr>
      <w:jc w:val="both"/>
    </w:pPr>
    <w:rPr>
      <w:rFonts w:ascii="Calibri" w:eastAsia="Calibri" w:hAnsi="Calibri" w:cs="Calibri"/>
      <w:sz w:val="24"/>
      <w:szCs w:val="24"/>
      <w:lang w:val="en-AU" w:eastAsia="en-MY"/>
    </w:rPr>
    <w:tblPr/>
  </w:style>
  <w:style w:type="table" w:customStyle="1" w:styleId="2">
    <w:name w:val="2"/>
    <w:basedOn w:val="TableNormal"/>
    <w:pPr>
      <w:jc w:val="both"/>
    </w:pPr>
    <w:rPr>
      <w:rFonts w:ascii="Calibri" w:eastAsia="Calibri" w:hAnsi="Calibri" w:cs="Calibri"/>
      <w:sz w:val="24"/>
      <w:szCs w:val="24"/>
      <w:lang w:val="en-AU" w:eastAsia="en-MY"/>
    </w:rPr>
    <w:tblPr/>
  </w:style>
  <w:style w:type="table" w:customStyle="1" w:styleId="12">
    <w:name w:val="1"/>
    <w:basedOn w:val="TableNormal"/>
    <w:pPr>
      <w:jc w:val="both"/>
    </w:pPr>
    <w:rPr>
      <w:rFonts w:ascii="Calibri" w:eastAsia="Calibri" w:hAnsi="Calibri" w:cs="Calibri"/>
      <w:sz w:val="24"/>
      <w:szCs w:val="24"/>
      <w:lang w:val="en-AU" w:eastAsia="en-MY"/>
    </w:rPr>
    <w:tblPr/>
  </w:style>
  <w:style w:type="paragraph" w:customStyle="1" w:styleId="a2">
    <w:name w:val="عنوان جانبي (أنماط المتن)"/>
    <w:basedOn w:val="Normal"/>
    <w:link w:val="Char0"/>
    <w:uiPriority w:val="99"/>
    <w:pPr>
      <w:autoSpaceDE w:val="0"/>
      <w:autoSpaceDN w:val="0"/>
      <w:bidi/>
      <w:adjustRightInd w:val="0"/>
      <w:spacing w:before="360" w:after="120" w:line="360" w:lineRule="auto"/>
      <w:ind w:firstLine="454"/>
      <w:jc w:val="both"/>
      <w:textAlignment w:val="center"/>
    </w:pPr>
    <w:rPr>
      <w:rFonts w:ascii="Times New Roman" w:eastAsia="Calibri" w:hAnsi="Times New Roman" w:cs="Arabic Transparent"/>
      <w:bCs/>
      <w:color w:val="000000"/>
      <w:sz w:val="28"/>
      <w:szCs w:val="32"/>
      <w:lang w:bidi="ar-YE"/>
    </w:rPr>
  </w:style>
  <w:style w:type="character" w:customStyle="1" w:styleId="Char0">
    <w:name w:val="عنوان جانبي (أنماط المتن) Char"/>
    <w:link w:val="a2"/>
    <w:uiPriority w:val="99"/>
    <w:rPr>
      <w:rFonts w:ascii="Times New Roman" w:eastAsia="Calibri" w:hAnsi="Times New Roman" w:cs="Arabic Transparent"/>
      <w:bCs/>
      <w:color w:val="000000"/>
      <w:sz w:val="28"/>
      <w:szCs w:val="32"/>
      <w:lang w:bidi="ar-YE"/>
    </w:rPr>
  </w:style>
  <w:style w:type="character" w:customStyle="1" w:styleId="personname">
    <w:name w:val="person_name"/>
    <w:basedOn w:val="DefaultParagraphFont"/>
    <w:qFormat/>
  </w:style>
  <w:style w:type="paragraph" w:customStyle="1" w:styleId="xydpcc708c84msonormal">
    <w:name w:val="x_ydpcc708c84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qFormat/>
    <w:pPr>
      <w:spacing w:after="160" w:line="259" w:lineRule="auto"/>
    </w:pPr>
    <w:rPr>
      <w:rFonts w:ascii="Calibri" w:eastAsia="Calibri" w:hAnsi="Calibri" w:cs="Calibri"/>
      <w:sz w:val="22"/>
      <w:szCs w:val="22"/>
      <w:lang w:val="en-SG"/>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val="en-MY"/>
    </w:rPr>
  </w:style>
  <w:style w:type="paragraph" w:customStyle="1" w:styleId="MediumGrid21">
    <w:name w:val="Medium Grid 21"/>
    <w:uiPriority w:val="1"/>
    <w:rPr>
      <w:rFonts w:ascii="Calibri" w:eastAsia="Calibri" w:hAnsi="Calibri"/>
      <w:sz w:val="22"/>
      <w:szCs w:val="22"/>
    </w:rPr>
  </w:style>
  <w:style w:type="character" w:customStyle="1" w:styleId="DocumentMapChar">
    <w:name w:val="Document Map Char"/>
    <w:basedOn w:val="DefaultParagraphFont"/>
    <w:link w:val="DocumentMap"/>
    <w:semiHidden/>
    <w:rPr>
      <w:rFonts w:ascii="Times New Roman" w:hAnsi="Times New Roman" w:cs="Times New Roman"/>
      <w:sz w:val="24"/>
      <w:szCs w:val="24"/>
      <w:lang w:val="en-MY"/>
    </w:rPr>
  </w:style>
  <w:style w:type="table" w:customStyle="1" w:styleId="TableGrid0">
    <w:name w:val="TableGrid"/>
    <w:qFormat/>
    <w:pPr>
      <w:spacing w:before="120"/>
      <w:jc w:val="both"/>
    </w:pPr>
    <w:rPr>
      <w:rFonts w:eastAsiaTheme="minorEastAsia"/>
      <w:lang w:val="en-MY" w:eastAsia="zh-CN"/>
    </w:rPr>
    <w:tblPr>
      <w:tblCellMar>
        <w:top w:w="0" w:type="dxa"/>
        <w:left w:w="0" w:type="dxa"/>
        <w:bottom w:w="0" w:type="dxa"/>
        <w:right w:w="0" w:type="dxa"/>
      </w:tblCellMar>
    </w:tblPr>
  </w:style>
  <w:style w:type="character" w:customStyle="1" w:styleId="Heading8Char">
    <w:name w:val="Heading 8 Char"/>
    <w:basedOn w:val="DefaultParagraphFont"/>
    <w:link w:val="Heading8"/>
    <w:uiPriority w:val="9"/>
    <w:qFormat/>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color w:val="404040" w:themeColor="text1" w:themeTint="BF"/>
      <w:sz w:val="20"/>
      <w:szCs w:val="20"/>
      <w:lang w:val="en-GB"/>
    </w:rPr>
  </w:style>
  <w:style w:type="table" w:customStyle="1" w:styleId="PlainTable51">
    <w:name w:val="Plain Table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2">
    <w:name w:val="Table Grid2"/>
    <w:basedOn w:val="TableNormal"/>
    <w:uiPriority w:val="39"/>
    <w:qFormat/>
    <w:pPr>
      <w:ind w:firstLine="720"/>
      <w:jc w:val="both"/>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table" w:customStyle="1" w:styleId="TableGrid3">
    <w:name w:val="Table Grid3"/>
    <w:basedOn w:val="TableNormal"/>
    <w:uiPriority w:val="39"/>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style>
  <w:style w:type="character" w:customStyle="1" w:styleId="A00">
    <w:name w:val="A0"/>
    <w:rPr>
      <w:rFonts w:cs="Montserrat"/>
      <w:color w:val="000000"/>
      <w:sz w:val="20"/>
      <w:szCs w:val="20"/>
    </w:rPr>
  </w:style>
  <w:style w:type="table" w:customStyle="1" w:styleId="Style11">
    <w:name w:val="_Style 11"/>
    <w:basedOn w:val="TableNormal"/>
    <w:qFormat/>
    <w:pPr>
      <w:widowControl w:val="0"/>
      <w:jc w:val="both"/>
    </w:pPr>
    <w:tblPr/>
  </w:style>
  <w:style w:type="table" w:customStyle="1" w:styleId="Style12">
    <w:name w:val="_Style 12"/>
    <w:basedOn w:val="TableNormal"/>
    <w:qFormat/>
    <w:pPr>
      <w:widowControl w:val="0"/>
      <w:jc w:val="both"/>
    </w:pPr>
    <w:tblPr/>
  </w:style>
  <w:style w:type="table" w:customStyle="1" w:styleId="Style13">
    <w:name w:val="_Style 13"/>
    <w:basedOn w:val="TableNormal"/>
    <w:qFormat/>
    <w:pPr>
      <w:widowControl w:val="0"/>
      <w:jc w:val="both"/>
    </w:pPr>
    <w:tblPr/>
  </w:style>
  <w:style w:type="character" w:customStyle="1" w:styleId="il">
    <w:name w:val="il"/>
    <w:basedOn w:val="DefaultParagraphFont"/>
  </w:style>
  <w:style w:type="character" w:customStyle="1" w:styleId="hgkelc">
    <w:name w:val="hgkelc"/>
    <w:basedOn w:val="DefaultParagraphFont"/>
    <w:qFormat/>
  </w:style>
  <w:style w:type="paragraph" w:customStyle="1" w:styleId="paragraph">
    <w:name w:val="paragraph"/>
    <w:basedOn w:val="Normal"/>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element-citation">
    <w:name w:val="element-citation"/>
    <w:basedOn w:val="DefaultParagraphFont"/>
    <w:qFormat/>
  </w:style>
  <w:style w:type="character" w:customStyle="1" w:styleId="ref-journal">
    <w:name w:val="ref-journal"/>
    <w:basedOn w:val="DefaultParagraphFont"/>
  </w:style>
  <w:style w:type="table" w:customStyle="1" w:styleId="LightShading2">
    <w:name w:val="Light Shading2"/>
    <w:basedOn w:val="TableNormal"/>
    <w:uiPriority w:val="60"/>
    <w:rPr>
      <w:rFonts w:ascii="Calibri" w:eastAsia="Calibri" w:hAnsi="Calibri"/>
      <w:color w:val="000000"/>
      <w:lang w:val="en-GB"/>
    </w:rPr>
    <w:tblPr>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style>
  <w:style w:type="character" w:customStyle="1" w:styleId="apple-tab-span">
    <w:name w:val="apple-tab-span"/>
    <w:basedOn w:val="DefaultParagraphFont"/>
  </w:style>
  <w:style w:type="paragraph" w:customStyle="1" w:styleId="Heading11">
    <w:name w:val="Heading 11"/>
    <w:basedOn w:val="Normal"/>
    <w:next w:val="Normal"/>
    <w:uiPriority w:val="9"/>
    <w:pPr>
      <w:bidi/>
      <w:spacing w:before="480" w:after="0" w:line="276" w:lineRule="auto"/>
      <w:contextualSpacing/>
      <w:outlineLvl w:val="0"/>
    </w:pPr>
    <w:rPr>
      <w:rFonts w:ascii="Cambria" w:eastAsia="Times New Roman" w:hAnsi="Cambria" w:cs="Times New Roman"/>
      <w:b/>
      <w:bCs/>
      <w:sz w:val="28"/>
      <w:szCs w:val="28"/>
    </w:rPr>
  </w:style>
  <w:style w:type="paragraph" w:customStyle="1" w:styleId="Heading21">
    <w:name w:val="Heading 21"/>
    <w:basedOn w:val="Normal"/>
    <w:next w:val="Normal"/>
    <w:uiPriority w:val="9"/>
    <w:unhideWhenUsed/>
    <w:pPr>
      <w:spacing w:before="200" w:after="0" w:line="276" w:lineRule="auto"/>
      <w:outlineLvl w:val="1"/>
    </w:pPr>
    <w:rPr>
      <w:rFonts w:ascii="Cambria" w:eastAsia="Times New Roman" w:hAnsi="Cambria" w:cs="Times New Roman"/>
      <w:b/>
      <w:bCs/>
      <w:sz w:val="26"/>
      <w:szCs w:val="26"/>
    </w:rPr>
  </w:style>
  <w:style w:type="paragraph" w:customStyle="1" w:styleId="Heading31">
    <w:name w:val="Heading 31"/>
    <w:basedOn w:val="Normal"/>
    <w:next w:val="Normal"/>
    <w:uiPriority w:val="9"/>
    <w:unhideWhenUsed/>
    <w:pPr>
      <w:bidi/>
      <w:spacing w:before="200" w:after="0" w:line="271" w:lineRule="auto"/>
      <w:outlineLvl w:val="2"/>
    </w:pPr>
    <w:rPr>
      <w:rFonts w:ascii="Cambria" w:eastAsia="Times New Roman" w:hAnsi="Cambria" w:cs="Times New Roman"/>
      <w:b/>
      <w:bCs/>
    </w:rPr>
  </w:style>
  <w:style w:type="paragraph" w:customStyle="1" w:styleId="Heading41">
    <w:name w:val="Heading 41"/>
    <w:basedOn w:val="Normal"/>
    <w:next w:val="Normal"/>
    <w:uiPriority w:val="9"/>
    <w:unhideWhenUsed/>
    <w:pPr>
      <w:spacing w:before="200" w:after="0" w:line="276" w:lineRule="auto"/>
      <w:outlineLvl w:val="3"/>
    </w:pPr>
    <w:rPr>
      <w:rFonts w:ascii="Cambria" w:eastAsia="Times New Roman" w:hAnsi="Cambria" w:cs="Times New Roman"/>
      <w:b/>
      <w:bCs/>
      <w:i/>
      <w:iCs/>
    </w:rPr>
  </w:style>
  <w:style w:type="paragraph" w:customStyle="1" w:styleId="Heading51">
    <w:name w:val="Heading 51"/>
    <w:basedOn w:val="Normal"/>
    <w:next w:val="Normal"/>
    <w:unhideWhenUsed/>
    <w:pPr>
      <w:spacing w:before="200" w:after="0" w:line="276" w:lineRule="auto"/>
      <w:outlineLvl w:val="4"/>
    </w:pPr>
    <w:rPr>
      <w:rFonts w:ascii="Cambria" w:eastAsia="Times New Roman" w:hAnsi="Cambria" w:cs="Times New Roman"/>
      <w:b/>
      <w:bCs/>
      <w:color w:val="7F7F7F"/>
    </w:rPr>
  </w:style>
  <w:style w:type="paragraph" w:customStyle="1" w:styleId="Heading61">
    <w:name w:val="Heading 61"/>
    <w:basedOn w:val="Normal"/>
    <w:next w:val="Normal"/>
    <w:uiPriority w:val="9"/>
    <w:unhideWhenUsed/>
    <w:pPr>
      <w:spacing w:after="0" w:line="271" w:lineRule="auto"/>
      <w:outlineLvl w:val="5"/>
    </w:pPr>
    <w:rPr>
      <w:rFonts w:ascii="Cambria" w:eastAsia="Times New Roman" w:hAnsi="Cambria" w:cs="Times New Roman"/>
      <w:b/>
      <w:bCs/>
      <w:i/>
      <w:iCs/>
      <w:color w:val="7F7F7F"/>
    </w:rPr>
  </w:style>
  <w:style w:type="paragraph" w:customStyle="1" w:styleId="Heading71">
    <w:name w:val="Heading 71"/>
    <w:basedOn w:val="Normal"/>
    <w:next w:val="Normal"/>
    <w:uiPriority w:val="9"/>
    <w:semiHidden/>
    <w:unhideWhenUsed/>
    <w:qFormat/>
    <w:pPr>
      <w:spacing w:after="0" w:line="276" w:lineRule="auto"/>
      <w:outlineLvl w:val="6"/>
    </w:pPr>
    <w:rPr>
      <w:rFonts w:ascii="Cambria" w:eastAsia="Times New Roman" w:hAnsi="Cambria" w:cs="Times New Roman"/>
      <w:i/>
      <w:iCs/>
    </w:rPr>
  </w:style>
  <w:style w:type="paragraph" w:customStyle="1" w:styleId="Heading81">
    <w:name w:val="Heading 81"/>
    <w:basedOn w:val="Normal"/>
    <w:next w:val="Normal"/>
    <w:uiPriority w:val="9"/>
    <w:semiHidden/>
    <w:unhideWhenUsed/>
    <w:qFormat/>
    <w:pPr>
      <w:spacing w:after="0" w:line="276" w:lineRule="auto"/>
      <w:outlineLvl w:val="7"/>
    </w:pPr>
    <w:rPr>
      <w:rFonts w:ascii="Cambria" w:eastAsia="Times New Roman" w:hAnsi="Cambria" w:cs="Times New Roman"/>
      <w:sz w:val="20"/>
      <w:szCs w:val="20"/>
    </w:rPr>
  </w:style>
  <w:style w:type="paragraph" w:customStyle="1" w:styleId="Heading91">
    <w:name w:val="Heading 91"/>
    <w:basedOn w:val="Normal"/>
    <w:next w:val="Normal"/>
    <w:uiPriority w:val="9"/>
    <w:semiHidden/>
    <w:unhideWhenUsed/>
    <w:qFormat/>
    <w:pPr>
      <w:spacing w:after="0" w:line="276" w:lineRule="auto"/>
      <w:outlineLvl w:val="8"/>
    </w:pPr>
    <w:rPr>
      <w:rFonts w:ascii="Cambria" w:eastAsia="Times New Roman" w:hAnsi="Cambria" w:cs="Times New Roman"/>
      <w:i/>
      <w:iCs/>
      <w:spacing w:val="5"/>
      <w:sz w:val="20"/>
      <w:szCs w:val="20"/>
    </w:rPr>
  </w:style>
  <w:style w:type="paragraph" w:customStyle="1" w:styleId="Subtitle1">
    <w:name w:val="Subtitle1"/>
    <w:basedOn w:val="Normal"/>
    <w:next w:val="Normal"/>
    <w:uiPriority w:val="11"/>
    <w:pPr>
      <w:spacing w:after="600" w:line="276" w:lineRule="auto"/>
    </w:pPr>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pPr>
      <w:spacing w:before="200" w:after="0" w:line="276" w:lineRule="auto"/>
      <w:ind w:left="360" w:right="360"/>
    </w:pPr>
    <w:rPr>
      <w:rFonts w:ascii="Calibri" w:eastAsia="Times New Roman" w:hAnsi="Calibri" w:cs="Arial"/>
      <w:i/>
      <w:iCs/>
    </w:rPr>
  </w:style>
  <w:style w:type="character" w:customStyle="1" w:styleId="QuoteChar">
    <w:name w:val="Quote Char"/>
    <w:basedOn w:val="DefaultParagraphFont"/>
    <w:link w:val="Quote"/>
    <w:uiPriority w:val="29"/>
    <w:qFormat/>
    <w:rPr>
      <w:rFonts w:ascii="Calibri" w:eastAsia="Times New Roman" w:hAnsi="Calibri" w:cs="Arial"/>
      <w:i/>
      <w:iCs/>
    </w:rPr>
  </w:style>
  <w:style w:type="paragraph" w:styleId="IntenseQuote">
    <w:name w:val="Intense Quote"/>
    <w:basedOn w:val="Normal"/>
    <w:next w:val="Normal"/>
    <w:link w:val="IntenseQuoteChar"/>
    <w:uiPriority w:val="30"/>
    <w:qFormat/>
    <w:pPr>
      <w:pBdr>
        <w:bottom w:val="single" w:sz="4" w:space="1" w:color="auto"/>
      </w:pBdr>
      <w:spacing w:before="200" w:after="280" w:line="276" w:lineRule="auto"/>
      <w:ind w:left="1008" w:right="1152"/>
      <w:jc w:val="both"/>
    </w:pPr>
    <w:rPr>
      <w:rFonts w:ascii="Calibri" w:eastAsia="Times New Roman" w:hAnsi="Calibri" w:cs="Arial"/>
      <w:b/>
      <w:bCs/>
      <w:i/>
      <w:iCs/>
    </w:rPr>
  </w:style>
  <w:style w:type="character" w:customStyle="1" w:styleId="IntenseQuoteChar">
    <w:name w:val="Intense Quote Char"/>
    <w:basedOn w:val="DefaultParagraphFont"/>
    <w:link w:val="IntenseQuote"/>
    <w:uiPriority w:val="30"/>
    <w:qFormat/>
    <w:rPr>
      <w:rFonts w:ascii="Calibri" w:eastAsia="Times New Roman" w:hAnsi="Calibri" w:cs="Arial"/>
      <w:b/>
      <w:bCs/>
      <w:i/>
      <w:iCs/>
    </w:rPr>
  </w:style>
  <w:style w:type="character" w:customStyle="1" w:styleId="SubtleEmphasis1">
    <w:name w:val="Subtle Emphasis1"/>
    <w:uiPriority w:val="19"/>
    <w:qFormat/>
    <w:rPr>
      <w:i/>
      <w:iCs/>
    </w:rPr>
  </w:style>
  <w:style w:type="character" w:customStyle="1" w:styleId="IntenseEmphasis1">
    <w:name w:val="Intense Emphasis1"/>
    <w:uiPriority w:val="21"/>
    <w:qFormat/>
    <w:rPr>
      <w:b/>
      <w:bCs/>
    </w:rPr>
  </w:style>
  <w:style w:type="character" w:customStyle="1" w:styleId="SubtleReference1">
    <w:name w:val="Subtle Reference1"/>
    <w:uiPriority w:val="31"/>
    <w:qFormat/>
    <w:rPr>
      <w:smallCaps/>
    </w:rPr>
  </w:style>
  <w:style w:type="character" w:customStyle="1" w:styleId="IntenseReference1">
    <w:name w:val="Intense Reference1"/>
    <w:uiPriority w:val="32"/>
    <w:qFormat/>
    <w:rPr>
      <w:smallCaps/>
      <w:spacing w:val="5"/>
      <w:u w:val="single"/>
    </w:rPr>
  </w:style>
  <w:style w:type="character" w:customStyle="1" w:styleId="BookTitle1">
    <w:name w:val="Book Title1"/>
    <w:uiPriority w:val="33"/>
    <w:qFormat/>
    <w:rPr>
      <w:i/>
      <w:iCs/>
      <w:smallCaps/>
      <w:spacing w:val="5"/>
    </w:rPr>
  </w:style>
  <w:style w:type="character" w:customStyle="1" w:styleId="Heading1Char1">
    <w:name w:val="Heading 1 Char1"/>
    <w:uiPriority w:val="9"/>
    <w:rPr>
      <w:rFonts w:ascii="Cambria" w:eastAsia="Times New Roman" w:hAnsi="Cambria" w:cs="Times New Roman"/>
      <w:b/>
      <w:bCs/>
      <w:color w:val="365F91"/>
      <w:sz w:val="28"/>
      <w:szCs w:val="28"/>
    </w:rPr>
  </w:style>
  <w:style w:type="paragraph" w:customStyle="1" w:styleId="TOCHeading1">
    <w:name w:val="TOC Heading1"/>
    <w:basedOn w:val="Heading1"/>
    <w:next w:val="Normal"/>
    <w:uiPriority w:val="39"/>
    <w:unhideWhenUsed/>
    <w:pPr>
      <w:keepNext w:val="0"/>
      <w:keepLines w:val="0"/>
      <w:spacing w:line="276" w:lineRule="auto"/>
      <w:ind w:firstLine="0"/>
      <w:contextualSpacing/>
      <w:outlineLvl w:val="9"/>
    </w:pPr>
    <w:rPr>
      <w:rFonts w:ascii="Cambria" w:eastAsia="Times New Roman" w:hAnsi="Cambria" w:cs="Times New Roman"/>
      <w:color w:val="auto"/>
      <w:lang w:bidi="ar-SA"/>
    </w:rPr>
  </w:style>
  <w:style w:type="paragraph" w:customStyle="1" w:styleId="aau1">
    <w:name w:val="aau1"/>
    <w:basedOn w:val="Normal"/>
    <w:link w:val="aau1Char"/>
    <w:pPr>
      <w:tabs>
        <w:tab w:val="center" w:pos="4153"/>
        <w:tab w:val="right" w:pos="8306"/>
      </w:tabs>
      <w:bidi/>
      <w:spacing w:after="0" w:line="360" w:lineRule="auto"/>
      <w:ind w:right="-425" w:firstLine="284"/>
      <w:jc w:val="both"/>
    </w:pPr>
    <w:rPr>
      <w:rFonts w:ascii="Simplified Arabic" w:eastAsia="Times New Roman" w:hAnsi="Simplified Arabic" w:cs="Simplified Arabic"/>
      <w:sz w:val="28"/>
      <w:szCs w:val="28"/>
      <w:lang w:bidi="ar-JO"/>
    </w:rPr>
  </w:style>
  <w:style w:type="character" w:customStyle="1" w:styleId="aau1Char">
    <w:name w:val="aau1 Char"/>
    <w:link w:val="aau1"/>
    <w:rPr>
      <w:rFonts w:ascii="Simplified Arabic" w:eastAsia="Times New Roman" w:hAnsi="Simplified Arabic" w:cs="Simplified Arabic"/>
      <w:sz w:val="28"/>
      <w:szCs w:val="28"/>
      <w:lang w:bidi="ar-JO"/>
    </w:rPr>
  </w:style>
  <w:style w:type="paragraph" w:customStyle="1" w:styleId="13">
    <w:name w:val="فهرس1"/>
    <w:basedOn w:val="Normal"/>
    <w:next w:val="Normal"/>
    <w:uiPriority w:val="35"/>
    <w:unhideWhenUsed/>
    <w:pPr>
      <w:bidi/>
      <w:spacing w:after="200" w:line="240" w:lineRule="auto"/>
    </w:pPr>
    <w:rPr>
      <w:rFonts w:ascii="Calibri" w:eastAsia="Times New Roman" w:hAnsi="Calibri" w:cs="Arial"/>
      <w:b/>
      <w:bCs/>
      <w:color w:val="4F81BD"/>
      <w:sz w:val="18"/>
      <w:szCs w:val="18"/>
    </w:rPr>
  </w:style>
  <w:style w:type="character" w:styleId="PlaceholderText">
    <w:name w:val="Placeholder Text"/>
    <w:uiPriority w:val="99"/>
    <w:qFormat/>
    <w:rPr>
      <w:color w:val="808080"/>
    </w:rPr>
  </w:style>
  <w:style w:type="character" w:customStyle="1" w:styleId="A9">
    <w:name w:val="A9"/>
    <w:uiPriority w:val="99"/>
    <w:rPr>
      <w:rFonts w:cs="Calvert MT Std Light"/>
      <w:color w:val="000000"/>
      <w:sz w:val="16"/>
      <w:szCs w:val="16"/>
    </w:rPr>
  </w:style>
  <w:style w:type="character" w:customStyle="1" w:styleId="authorsname">
    <w:name w:val="authors__name"/>
    <w:basedOn w:val="DefaultParagraphFont"/>
  </w:style>
  <w:style w:type="paragraph" w:customStyle="1" w:styleId="margthalf">
    <w:name w:val="margthalf"/>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DefaultParagraphFont"/>
  </w:style>
  <w:style w:type="paragraph" w:customStyle="1" w:styleId="a3">
    <w:name w:val="سرد الفقرات"/>
    <w:basedOn w:val="Normal"/>
    <w:pPr>
      <w:spacing w:after="200" w:line="276" w:lineRule="auto"/>
      <w:ind w:left="720"/>
      <w:contextualSpacing/>
    </w:pPr>
    <w:rPr>
      <w:rFonts w:ascii="Calibri" w:eastAsia="Times New Roman" w:hAnsi="Calibri" w:cs="Arial"/>
    </w:rPr>
  </w:style>
  <w:style w:type="character" w:customStyle="1" w:styleId="Style1Char">
    <w:name w:val="Style1 Char"/>
    <w:link w:val="Style1"/>
    <w:qFormat/>
    <w:locked/>
    <w:rPr>
      <w:rFonts w:ascii="Arabic Transparent" w:hAnsi="Arabic Transparent"/>
      <w:sz w:val="28"/>
      <w:szCs w:val="28"/>
    </w:rPr>
  </w:style>
  <w:style w:type="paragraph" w:customStyle="1" w:styleId="Style1">
    <w:name w:val="Style1"/>
    <w:basedOn w:val="Normal"/>
    <w:link w:val="Style1Char"/>
    <w:qFormat/>
    <w:pPr>
      <w:bidi/>
      <w:spacing w:after="200" w:line="360" w:lineRule="auto"/>
      <w:jc w:val="both"/>
    </w:pPr>
    <w:rPr>
      <w:rFonts w:ascii="Arabic Transparent" w:hAnsi="Arabic Transparent"/>
      <w:sz w:val="28"/>
      <w:szCs w:val="28"/>
    </w:rPr>
  </w:style>
  <w:style w:type="character" w:customStyle="1" w:styleId="srchexplword">
    <w:name w:val="srch_expl_word"/>
  </w:style>
  <w:style w:type="character" w:customStyle="1" w:styleId="litefontsml">
    <w:name w:val="litefontsml"/>
  </w:style>
  <w:style w:type="character" w:customStyle="1" w:styleId="apple-style-span">
    <w:name w:val="apple-style-span"/>
  </w:style>
  <w:style w:type="paragraph" w:customStyle="1" w:styleId="Pa1">
    <w:name w:val="Pa1"/>
    <w:basedOn w:val="Default"/>
    <w:next w:val="Default"/>
    <w:uiPriority w:val="99"/>
    <w:pPr>
      <w:spacing w:line="351" w:lineRule="atLeast"/>
    </w:pPr>
    <w:rPr>
      <w:rFonts w:ascii="DIN Engschrift Std" w:hAnsi="DIN Engschrift Std"/>
      <w:color w:val="auto"/>
    </w:rPr>
  </w:style>
  <w:style w:type="character" w:customStyle="1" w:styleId="A10">
    <w:name w:val="A1"/>
    <w:uiPriority w:val="99"/>
    <w:rPr>
      <w:rFonts w:cs="DIN Engschrift Std"/>
      <w:color w:val="000000"/>
      <w:sz w:val="40"/>
      <w:szCs w:val="40"/>
    </w:rPr>
  </w:style>
  <w:style w:type="table" w:customStyle="1" w:styleId="TableGrid11">
    <w:name w:val="Table Grid11"/>
    <w:basedOn w:val="TableNormal"/>
    <w:uiPriority w:val="59"/>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شبكة جدول1"/>
    <w:basedOn w:val="TableNormal"/>
    <w:uiPriority w:val="59"/>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
    <w:name w:val="نمط4"/>
    <w:basedOn w:val="Normal"/>
    <w:link w:val="4Char"/>
    <w:pPr>
      <w:bidi/>
      <w:spacing w:after="0" w:line="480" w:lineRule="auto"/>
      <w:jc w:val="both"/>
    </w:pPr>
    <w:rPr>
      <w:rFonts w:ascii="Simplified Arabic" w:eastAsia="Times New Roman" w:hAnsi="Simplified Arabic" w:cs="Simplified Arabic"/>
      <w:sz w:val="28"/>
      <w:szCs w:val="28"/>
      <w:lang w:bidi="ar-JO"/>
    </w:rPr>
  </w:style>
  <w:style w:type="character" w:customStyle="1" w:styleId="4Char">
    <w:name w:val="نمط4 Char"/>
    <w:link w:val="40"/>
    <w:rPr>
      <w:rFonts w:ascii="Simplified Arabic" w:eastAsia="Times New Roman" w:hAnsi="Simplified Arabic" w:cs="Simplified Arabic"/>
      <w:sz w:val="28"/>
      <w:szCs w:val="28"/>
      <w:lang w:bidi="ar-JO"/>
    </w:rPr>
  </w:style>
  <w:style w:type="paragraph" w:customStyle="1" w:styleId="thesistext">
    <w:name w:val="thesistext"/>
    <w:basedOn w:val="Normal"/>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11">
    <w:name w:val="Table Grid111"/>
    <w:basedOn w:val="TableNormal"/>
    <w:uiPriority w:val="39"/>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basedOn w:val="DefaultParagraphFont"/>
    <w:link w:val="BodyTextIndent"/>
    <w:rPr>
      <w:rFonts w:ascii="Times New Roman" w:eastAsia="Times New Roman" w:hAnsi="Times New Roman" w:cs="Times New Roman"/>
      <w:sz w:val="28"/>
      <w:szCs w:val="28"/>
    </w:rPr>
  </w:style>
  <w:style w:type="character" w:customStyle="1" w:styleId="BodyTextIndent3Char">
    <w:name w:val="Body Text Indent 3 Char"/>
    <w:link w:val="BodyTextIndent3"/>
    <w:uiPriority w:val="99"/>
    <w:rPr>
      <w:rFonts w:ascii="Times New Roman"/>
      <w:sz w:val="16"/>
      <w:szCs w:val="16"/>
      <w:lang w:eastAsia="ar-SA"/>
    </w:rPr>
  </w:style>
  <w:style w:type="paragraph" w:customStyle="1" w:styleId="BodyTextIndent31">
    <w:name w:val="Body Text Indent 31"/>
    <w:basedOn w:val="Normal"/>
    <w:next w:val="BodyTextIndent3"/>
    <w:uiPriority w:val="99"/>
    <w:semiHidden/>
    <w:unhideWhenUsed/>
    <w:pPr>
      <w:bidi/>
      <w:spacing w:after="120" w:line="240" w:lineRule="auto"/>
      <w:ind w:left="360"/>
    </w:pPr>
    <w:rPr>
      <w:rFonts w:ascii="Times New Roman" w:eastAsia="Calibri" w:hAnsi="Calibri" w:cs="Arial"/>
      <w:sz w:val="16"/>
      <w:szCs w:val="16"/>
      <w:lang w:eastAsia="ar-SA" w:bidi="en-US"/>
    </w:rPr>
  </w:style>
  <w:style w:type="character" w:customStyle="1" w:styleId="BodyTextIndent3Char1">
    <w:name w:val="Body Text Indent 3 Char1"/>
    <w:uiPriority w:val="99"/>
    <w:semiHidden/>
    <w:qFormat/>
    <w:rPr>
      <w:rFonts w:eastAsia="Times New Roman"/>
      <w:sz w:val="16"/>
      <w:szCs w:val="16"/>
      <w:lang w:bidi="ar-SA"/>
    </w:rPr>
  </w:style>
  <w:style w:type="paragraph" w:customStyle="1" w:styleId="DocumentMap1">
    <w:name w:val="Document Map1"/>
    <w:basedOn w:val="Normal"/>
    <w:next w:val="DocumentMap"/>
    <w:semiHidden/>
    <w:unhideWhenUsed/>
    <w:pPr>
      <w:shd w:val="clear" w:color="auto" w:fill="000080"/>
      <w:spacing w:after="200" w:line="276" w:lineRule="auto"/>
    </w:pPr>
    <w:rPr>
      <w:rFonts w:ascii="Tahoma" w:eastAsia="Calibri" w:hAnsi="Tahoma" w:cs="Tahoma"/>
      <w:lang w:bidi="en-US"/>
    </w:rPr>
  </w:style>
  <w:style w:type="character" w:customStyle="1" w:styleId="DocumentMapChar1">
    <w:name w:val="Document Map Char1"/>
    <w:uiPriority w:val="99"/>
    <w:semiHidden/>
    <w:rPr>
      <w:rFonts w:ascii="Tahoma" w:eastAsia="Times New Roman" w:hAnsi="Tahoma" w:cs="Tahoma"/>
      <w:sz w:val="16"/>
      <w:szCs w:val="16"/>
      <w:lang w:bidi="ar-SA"/>
    </w:rPr>
  </w:style>
  <w:style w:type="character" w:customStyle="1" w:styleId="Char1">
    <w:name w:val="ش Char"/>
    <w:link w:val="a4"/>
    <w:uiPriority w:val="99"/>
    <w:locked/>
    <w:rPr>
      <w:b/>
      <w:bCs/>
      <w:sz w:val="30"/>
      <w:szCs w:val="30"/>
    </w:rPr>
  </w:style>
  <w:style w:type="paragraph" w:customStyle="1" w:styleId="a4">
    <w:name w:val="ش"/>
    <w:basedOn w:val="Normal"/>
    <w:link w:val="Char1"/>
    <w:uiPriority w:val="99"/>
    <w:pPr>
      <w:tabs>
        <w:tab w:val="left" w:pos="3641"/>
        <w:tab w:val="center" w:pos="4153"/>
        <w:tab w:val="left" w:pos="4706"/>
      </w:tabs>
      <w:bidi/>
      <w:spacing w:after="0" w:line="360" w:lineRule="auto"/>
      <w:jc w:val="center"/>
    </w:pPr>
    <w:rPr>
      <w:b/>
      <w:bCs/>
      <w:sz w:val="30"/>
      <w:szCs w:val="30"/>
    </w:rPr>
  </w:style>
  <w:style w:type="paragraph" w:customStyle="1" w:styleId="a5">
    <w:name w:val="ض"/>
    <w:basedOn w:val="Normal"/>
    <w:uiPriority w:val="99"/>
    <w:pPr>
      <w:bidi/>
      <w:spacing w:after="0" w:line="240" w:lineRule="auto"/>
    </w:pPr>
    <w:rPr>
      <w:rFonts w:ascii="Times New Roman" w:eastAsia="Times New Roman" w:hAnsi="Times New Roman" w:cs="Simplified Arabic"/>
      <w:b/>
      <w:bCs/>
      <w:sz w:val="32"/>
      <w:szCs w:val="32"/>
      <w:lang w:bidi="ar-JO"/>
    </w:rPr>
  </w:style>
  <w:style w:type="paragraph" w:customStyle="1" w:styleId="a6">
    <w:name w:val="ص"/>
    <w:basedOn w:val="Normal"/>
    <w:uiPriority w:val="99"/>
    <w:pPr>
      <w:bidi/>
      <w:spacing w:after="0" w:line="360" w:lineRule="auto"/>
      <w:jc w:val="both"/>
    </w:pPr>
    <w:rPr>
      <w:rFonts w:ascii="Times New Roman" w:eastAsia="Times New Roman" w:hAnsi="Times New Roman" w:cs="Simplified Arabic"/>
      <w:b/>
      <w:bCs/>
      <w:sz w:val="32"/>
      <w:szCs w:val="32"/>
    </w:rPr>
  </w:style>
  <w:style w:type="paragraph" w:customStyle="1" w:styleId="a7">
    <w:name w:val="ق"/>
    <w:basedOn w:val="Normal"/>
    <w:uiPriority w:val="99"/>
    <w:pPr>
      <w:bidi/>
      <w:spacing w:after="0" w:line="240" w:lineRule="auto"/>
      <w:jc w:val="center"/>
    </w:pPr>
    <w:rPr>
      <w:rFonts w:ascii="Times New Roman" w:eastAsia="Times New Roman" w:hAnsi="Times New Roman" w:cs="Simplified Arabic"/>
      <w:b/>
      <w:bCs/>
      <w:sz w:val="40"/>
      <w:szCs w:val="40"/>
      <w:lang w:bidi="ar-JO"/>
    </w:rPr>
  </w:style>
  <w:style w:type="paragraph" w:customStyle="1" w:styleId="a8">
    <w:name w:val="ث"/>
    <w:basedOn w:val="a6"/>
    <w:uiPriority w:val="99"/>
    <w:rPr>
      <w:rFonts w:ascii="Arial" w:hAnsi="Arial"/>
      <w:sz w:val="28"/>
      <w:szCs w:val="28"/>
    </w:rPr>
  </w:style>
  <w:style w:type="paragraph" w:customStyle="1" w:styleId="aa">
    <w:name w:val="ف"/>
    <w:basedOn w:val="Normal"/>
    <w:uiPriority w:val="99"/>
    <w:pPr>
      <w:bidi/>
      <w:spacing w:after="0" w:line="360" w:lineRule="auto"/>
      <w:ind w:left="360" w:right="-180"/>
      <w:jc w:val="center"/>
    </w:pPr>
    <w:rPr>
      <w:rFonts w:ascii="Arial" w:eastAsia="Times New Roman" w:hAnsi="Arial" w:cs="Simplified Arabic"/>
      <w:b/>
      <w:bCs/>
      <w:sz w:val="28"/>
      <w:szCs w:val="28"/>
    </w:rPr>
  </w:style>
  <w:style w:type="paragraph" w:customStyle="1" w:styleId="Com">
    <w:name w:val="Com"/>
    <w:basedOn w:val="Normal"/>
    <w:uiPriority w:val="99"/>
    <w:pPr>
      <w:bidi/>
      <w:spacing w:before="100" w:beforeAutospacing="1" w:after="100" w:afterAutospacing="1" w:line="360" w:lineRule="auto"/>
      <w:ind w:firstLine="720"/>
      <w:jc w:val="lowKashida"/>
    </w:pPr>
    <w:rPr>
      <w:rFonts w:ascii="Arial" w:eastAsia="Times New Roman" w:hAnsi="Arial" w:cs="Simplified Arabic"/>
      <w:sz w:val="28"/>
      <w:szCs w:val="28"/>
      <w:lang w:bidi="ar-JO"/>
    </w:rPr>
  </w:style>
  <w:style w:type="character" w:customStyle="1" w:styleId="slug-pages">
    <w:name w:val="slug-pages"/>
  </w:style>
  <w:style w:type="character" w:customStyle="1" w:styleId="st1">
    <w:name w:val="st1"/>
    <w:qFormat/>
    <w:rPr>
      <w:rFonts w:ascii="Times New Roman" w:hAnsi="Times New Roman" w:cs="Times New Roman" w:hint="default"/>
    </w:rPr>
  </w:style>
  <w:style w:type="character" w:customStyle="1" w:styleId="BodyText3Char">
    <w:name w:val="Body Text 3 Char"/>
    <w:aliases w:val="TABLE Char"/>
    <w:basedOn w:val="DefaultParagraphFont"/>
    <w:link w:val="BodyText3"/>
    <w:rPr>
      <w:rFonts w:ascii="Calibri" w:eastAsia="Times New Roman" w:hAnsi="Calibri" w:cs="Arial"/>
      <w:sz w:val="16"/>
      <w:szCs w:val="16"/>
    </w:rPr>
  </w:style>
  <w:style w:type="character" w:customStyle="1" w:styleId="FootnoteTextChar1">
    <w:name w:val="Footnote Text Char1"/>
    <w:locked/>
    <w:rPr>
      <w:rFonts w:ascii="Times New Roman" w:eastAsia="MS Mincho" w:hAnsi="Times New Roman" w:cs="Times New Roman"/>
      <w:sz w:val="24"/>
      <w:szCs w:val="24"/>
      <w:lang w:val="fr-FR" w:eastAsia="ar-SA"/>
    </w:rPr>
  </w:style>
  <w:style w:type="character" w:customStyle="1" w:styleId="articleheader-author">
    <w:name w:val="articleheader-author"/>
    <w:basedOn w:val="DefaultParagraphFont"/>
  </w:style>
  <w:style w:type="character" w:customStyle="1" w:styleId="anchor-text">
    <w:name w:val="anchor-text"/>
    <w:basedOn w:val="DefaultParagraphFont"/>
  </w:style>
  <w:style w:type="character" w:customStyle="1" w:styleId="ReferencesChar">
    <w:name w:val="References Char"/>
    <w:link w:val="References0"/>
    <w:locked/>
    <w:rPr>
      <w:rFonts w:ascii="Palatino Linotype" w:eastAsia="Calibri" w:hAnsi="Palatino Linotype" w:cs="Times New Roman"/>
      <w:sz w:val="20"/>
      <w:szCs w:val="24"/>
      <w:lang w:val="en-GB" w:eastAsia="en-GB"/>
    </w:rPr>
  </w:style>
  <w:style w:type="character" w:customStyle="1" w:styleId="mw-editsection">
    <w:name w:val="mw-editsection"/>
    <w:basedOn w:val="DefaultParagraphFont"/>
  </w:style>
  <w:style w:type="character" w:customStyle="1" w:styleId="mw-editsection-bracket">
    <w:name w:val="mw-editsection-bracket"/>
    <w:basedOn w:val="DefaultParagraphFont"/>
  </w:style>
  <w:style w:type="character" w:customStyle="1" w:styleId="Heading2Char1">
    <w:name w:val="Heading 2 Char1"/>
    <w:uiPriority w:val="9"/>
    <w:semiHidden/>
    <w:rPr>
      <w:rFonts w:ascii="Cambria" w:eastAsia="Times New Roman" w:hAnsi="Cambria" w:cs="Times New Roman"/>
      <w:b/>
      <w:bCs/>
      <w:color w:val="4F81BD"/>
      <w:sz w:val="26"/>
      <w:szCs w:val="26"/>
    </w:rPr>
  </w:style>
  <w:style w:type="character" w:customStyle="1" w:styleId="Heading3Char1">
    <w:name w:val="Heading 3 Char1"/>
    <w:uiPriority w:val="9"/>
    <w:semiHidden/>
    <w:rPr>
      <w:rFonts w:ascii="Cambria" w:eastAsia="Times New Roman" w:hAnsi="Cambria" w:cs="Times New Roman"/>
      <w:b/>
      <w:bCs/>
      <w:color w:val="4F81BD"/>
    </w:rPr>
  </w:style>
  <w:style w:type="character" w:customStyle="1" w:styleId="Heading4Char1">
    <w:name w:val="Heading 4 Char1"/>
    <w:uiPriority w:val="9"/>
    <w:semiHidden/>
    <w:rPr>
      <w:rFonts w:ascii="Cambria" w:eastAsia="Times New Roman" w:hAnsi="Cambria" w:cs="Times New Roman"/>
      <w:b/>
      <w:bCs/>
      <w:i/>
      <w:iCs/>
      <w:color w:val="4F81BD"/>
    </w:rPr>
  </w:style>
  <w:style w:type="character" w:customStyle="1" w:styleId="Heading6Char1">
    <w:name w:val="Heading 6 Char1"/>
    <w:uiPriority w:val="9"/>
    <w:semiHidden/>
    <w:rPr>
      <w:rFonts w:ascii="Cambria" w:eastAsia="Times New Roman" w:hAnsi="Cambria" w:cs="Times New Roman"/>
      <w:i/>
      <w:iCs/>
      <w:color w:val="243F60"/>
    </w:rPr>
  </w:style>
  <w:style w:type="character" w:customStyle="1" w:styleId="Heading7Char1">
    <w:name w:val="Heading 7 Char1"/>
    <w:uiPriority w:val="9"/>
    <w:semiHidden/>
    <w:rPr>
      <w:rFonts w:ascii="Cambria" w:eastAsia="Times New Roman" w:hAnsi="Cambria" w:cs="Times New Roman"/>
      <w:i/>
      <w:iCs/>
      <w:color w:val="404040"/>
    </w:rPr>
  </w:style>
  <w:style w:type="character" w:customStyle="1" w:styleId="Heading8Char1">
    <w:name w:val="Heading 8 Char1"/>
    <w:uiPriority w:val="9"/>
    <w:semiHidden/>
    <w:rPr>
      <w:rFonts w:ascii="Cambria" w:eastAsia="Times New Roman" w:hAnsi="Cambria" w:cs="Times New Roman"/>
      <w:color w:val="404040"/>
      <w:sz w:val="20"/>
      <w:szCs w:val="20"/>
    </w:rPr>
  </w:style>
  <w:style w:type="character" w:customStyle="1" w:styleId="Heading9Char1">
    <w:name w:val="Heading 9 Char1"/>
    <w:uiPriority w:val="9"/>
    <w:semiHidden/>
    <w:rPr>
      <w:rFonts w:ascii="Cambria" w:eastAsia="Times New Roman" w:hAnsi="Cambria" w:cs="Times New Roman"/>
      <w:i/>
      <w:iCs/>
      <w:color w:val="404040"/>
      <w:sz w:val="20"/>
      <w:szCs w:val="20"/>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SubtitleChar1">
    <w:name w:val="Subtitle Char1"/>
    <w:uiPriority w:val="11"/>
    <w:rPr>
      <w:rFonts w:ascii="Cambria" w:eastAsia="Times New Roman" w:hAnsi="Cambria" w:cs="Times New Roman"/>
      <w:i/>
      <w:iCs/>
      <w:color w:val="4F81BD"/>
      <w:spacing w:val="15"/>
      <w:sz w:val="24"/>
      <w:szCs w:val="24"/>
    </w:rPr>
  </w:style>
  <w:style w:type="character" w:customStyle="1" w:styleId="BodyTextIndent3Char2">
    <w:name w:val="Body Text Indent 3 Char2"/>
    <w:basedOn w:val="DefaultParagraphFont"/>
    <w:uiPriority w:val="99"/>
    <w:semiHidden/>
    <w:rPr>
      <w:sz w:val="16"/>
      <w:szCs w:val="16"/>
    </w:rPr>
  </w:style>
  <w:style w:type="character" w:customStyle="1" w:styleId="DocumentMapChar2">
    <w:name w:val="Document Map Char2"/>
    <w:uiPriority w:val="99"/>
    <w:semiHidden/>
    <w:rPr>
      <w:rFonts w:ascii="Tahoma" w:hAnsi="Tahoma" w:cs="Tahoma"/>
      <w:sz w:val="16"/>
      <w:szCs w:val="16"/>
    </w:rPr>
  </w:style>
  <w:style w:type="paragraph" w:customStyle="1" w:styleId="11Normal02-PerengganKeduaonward">
    <w:name w:val="11 Normal02 - PerengganKedua onward"/>
    <w:qFormat/>
    <w:pPr>
      <w:spacing w:beforeLines="150" w:before="150" w:afterLines="150" w:after="150" w:line="360" w:lineRule="auto"/>
      <w:ind w:firstLine="720"/>
      <w:jc w:val="both"/>
    </w:pPr>
    <w:rPr>
      <w:rFonts w:eastAsia="MS Mincho" w:cs="Arial"/>
      <w:sz w:val="24"/>
      <w:szCs w:val="24"/>
    </w:rPr>
  </w:style>
  <w:style w:type="paragraph" w:customStyle="1" w:styleId="10Normal01-PerengganPertama">
    <w:name w:val="10 Normal01 - PerengganPertama"/>
    <w:next w:val="11Normal02-PerengganKeduaonward"/>
    <w:qFormat/>
    <w:pPr>
      <w:spacing w:beforeLines="150" w:before="150" w:afterLines="150" w:after="150" w:line="360" w:lineRule="auto"/>
      <w:jc w:val="both"/>
    </w:pPr>
    <w:rPr>
      <w:rFonts w:eastAsia="MS Mincho"/>
      <w:sz w:val="24"/>
      <w:szCs w:val="24"/>
    </w:rPr>
  </w:style>
  <w:style w:type="paragraph" w:customStyle="1" w:styleId="15aCaption-Center">
    <w:name w:val="15a Caption-Center"/>
    <w:next w:val="11Normal02-PerengganKeduaonward"/>
    <w:pPr>
      <w:tabs>
        <w:tab w:val="left" w:pos="1701"/>
      </w:tabs>
      <w:spacing w:beforeLines="100" w:before="100" w:afterLines="100" w:after="100"/>
      <w:ind w:left="567" w:right="567"/>
      <w:jc w:val="center"/>
    </w:pPr>
    <w:rPr>
      <w:rFonts w:eastAsia="MS Mincho" w:cs="Arial"/>
      <w:bCs/>
      <w:szCs w:val="18"/>
    </w:rPr>
  </w:style>
  <w:style w:type="paragraph" w:customStyle="1" w:styleId="15bCaption-Justify">
    <w:name w:val="15b Caption-Justify"/>
    <w:next w:val="11Normal02-PerengganKeduaonward"/>
    <w:pPr>
      <w:tabs>
        <w:tab w:val="left" w:pos="1701"/>
      </w:tabs>
      <w:spacing w:before="240" w:after="120"/>
      <w:ind w:left="1701" w:right="567" w:hanging="1134"/>
    </w:pPr>
    <w:rPr>
      <w:rFonts w:eastAsia="MS Mincho" w:cs="Arial"/>
      <w:bCs/>
      <w:szCs w:val="18"/>
    </w:rPr>
  </w:style>
  <w:style w:type="paragraph" w:customStyle="1" w:styleId="17Kotak-Tajuk-Center">
    <w:name w:val="17 Kotak-Tajuk-Center"/>
    <w:next w:val="10Normal01-PerengganPertama"/>
    <w:qFormat/>
    <w:pPr>
      <w:spacing w:before="20" w:after="20"/>
      <w:jc w:val="center"/>
    </w:pPr>
    <w:rPr>
      <w:rFonts w:eastAsia="MS Mincho" w:cs="Arial"/>
      <w:b/>
      <w:szCs w:val="24"/>
      <w:lang w:eastAsia="ko-KR"/>
    </w:rPr>
  </w:style>
  <w:style w:type="paragraph" w:customStyle="1" w:styleId="21Kotak-Isi-Kiri">
    <w:name w:val="21 Kotak-Isi-Kiri"/>
    <w:qFormat/>
    <w:rPr>
      <w:rFonts w:eastAsia="MS Mincho" w:cs="Arial"/>
      <w:szCs w:val="24"/>
    </w:rPr>
  </w:style>
  <w:style w:type="paragraph" w:customStyle="1" w:styleId="20Kotak-Isi-Center">
    <w:name w:val="20 Kotak-Isi-Center"/>
    <w:pPr>
      <w:jc w:val="center"/>
    </w:pPr>
    <w:rPr>
      <w:rFonts w:eastAsia="MS Mincho"/>
      <w:szCs w:val="24"/>
    </w:rPr>
  </w:style>
  <w:style w:type="paragraph" w:customStyle="1" w:styleId="29Listing">
    <w:name w:val="29 Listing"/>
    <w:pPr>
      <w:spacing w:after="200" w:line="360" w:lineRule="auto"/>
      <w:ind w:left="720" w:hanging="720"/>
      <w:jc w:val="both"/>
    </w:pPr>
    <w:rPr>
      <w:rFonts w:eastAsia="MS Mincho"/>
      <w:sz w:val="24"/>
      <w:szCs w:val="24"/>
    </w:rPr>
  </w:style>
  <w:style w:type="paragraph" w:customStyle="1" w:styleId="cpformat">
    <w:name w:val="cpformat"/>
    <w:basedOn w:val="Normal"/>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Para2lines">
    <w:name w:val="Para 2 lines"/>
    <w:basedOn w:val="Normal"/>
    <w:link w:val="Para2linesChar"/>
    <w:autoRedefine/>
    <w:uiPriority w:val="10"/>
    <w:qFormat/>
    <w:pPr>
      <w:spacing w:before="120" w:afterLines="200" w:after="480" w:line="360" w:lineRule="auto"/>
      <w:ind w:firstLine="720"/>
      <w:contextualSpacing/>
      <w:jc w:val="center"/>
    </w:pPr>
    <w:rPr>
      <w:lang w:val="en-MY"/>
    </w:rPr>
  </w:style>
  <w:style w:type="character" w:customStyle="1" w:styleId="Para2linesChar">
    <w:name w:val="Para 2 lines Char"/>
    <w:basedOn w:val="DefaultParagraphFont"/>
    <w:link w:val="Para2lines"/>
    <w:uiPriority w:val="10"/>
    <w:rPr>
      <w:lang w:val="en-MY"/>
    </w:rPr>
  </w:style>
  <w:style w:type="paragraph" w:customStyle="1" w:styleId="Referencing">
    <w:name w:val="Referencing"/>
    <w:basedOn w:val="Normal"/>
    <w:link w:val="ReferencingChar"/>
    <w:autoRedefine/>
    <w:pPr>
      <w:widowControl w:val="0"/>
      <w:autoSpaceDE w:val="0"/>
      <w:autoSpaceDN w:val="0"/>
      <w:adjustRightInd w:val="0"/>
      <w:spacing w:after="0" w:line="240" w:lineRule="auto"/>
      <w:ind w:left="480" w:hanging="480"/>
      <w:textAlignment w:val="baseline"/>
    </w:pPr>
    <w:rPr>
      <w:rFonts w:ascii="Calibri" w:eastAsia="Times New Roman" w:hAnsi="Calibri" w:cs="Times New Roman"/>
      <w:szCs w:val="24"/>
    </w:rPr>
  </w:style>
  <w:style w:type="character" w:customStyle="1" w:styleId="ReferencingChar">
    <w:name w:val="Referencing Char"/>
    <w:basedOn w:val="DefaultParagraphFont"/>
    <w:link w:val="Referencing"/>
    <w:rPr>
      <w:rFonts w:ascii="Calibri" w:eastAsia="Times New Roman" w:hAnsi="Calibri" w:cs="Times New Roman"/>
      <w:szCs w:val="24"/>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4"/>
      <w:lang w:val="pl-PL"/>
    </w:rPr>
  </w:style>
  <w:style w:type="paragraph" w:customStyle="1" w:styleId="outdent">
    <w:name w:val="outdent"/>
    <w:basedOn w:val="Normal"/>
    <w:pPr>
      <w:spacing w:before="100" w:beforeAutospacing="1" w:after="100" w:afterAutospacing="1" w:line="240" w:lineRule="auto"/>
      <w:ind w:hanging="600"/>
      <w:jc w:val="both"/>
    </w:pPr>
    <w:rPr>
      <w:rFonts w:ascii="Times New Roman" w:eastAsia="Times New Roman" w:hAnsi="Times New Roman" w:cs="Times New Roman"/>
      <w:color w:val="000000"/>
      <w:sz w:val="24"/>
      <w:szCs w:val="24"/>
    </w:rPr>
  </w:style>
  <w:style w:type="character" w:customStyle="1" w:styleId="url">
    <w:name w:val="url"/>
  </w:style>
  <w:style w:type="character" w:customStyle="1" w:styleId="arial151">
    <w:name w:val="arial151"/>
    <w:rPr>
      <w:rFonts w:ascii="Arial" w:hAnsi="Arial" w:cs="Arial" w:hint="default"/>
      <w:color w:val="000000"/>
      <w:sz w:val="23"/>
      <w:szCs w:val="23"/>
    </w:rPr>
  </w:style>
  <w:style w:type="character" w:customStyle="1" w:styleId="PlainTextChar">
    <w:name w:val="Plain Text Char"/>
    <w:basedOn w:val="DefaultParagraphFont"/>
    <w:link w:val="PlainText"/>
    <w:qFormat/>
    <w:rPr>
      <w:rFonts w:ascii="Arial" w:eastAsia="MS Mincho" w:hAnsi="Arial" w:cs="Times New Roman"/>
      <w:sz w:val="18"/>
      <w:szCs w:val="20"/>
      <w:lang w:val="en-GB"/>
    </w:rPr>
  </w:style>
  <w:style w:type="paragraph" w:customStyle="1" w:styleId="Tabletext">
    <w:name w:val="Table text"/>
    <w:pPr>
      <w:spacing w:before="40" w:after="40"/>
    </w:pPr>
    <w:rPr>
      <w:sz w:val="22"/>
      <w:szCs w:val="24"/>
      <w:lang w:val="en-AU"/>
    </w:rPr>
  </w:style>
  <w:style w:type="table" w:customStyle="1" w:styleId="Tableblue1">
    <w:name w:val="Table blue1"/>
    <w:basedOn w:val="TableNormal"/>
    <w:uiPriority w:val="59"/>
    <w:rPr>
      <w:rFonts w:cs="Arial"/>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paragraph" w:customStyle="1" w:styleId="Quote1">
    <w:name w:val="Quote1"/>
    <w:basedOn w:val="Normal"/>
    <w:next w:val="Normal"/>
    <w:uiPriority w:val="29"/>
    <w:pPr>
      <w:autoSpaceDE w:val="0"/>
      <w:autoSpaceDN w:val="0"/>
      <w:adjustRightInd w:val="0"/>
      <w:spacing w:after="100" w:afterAutospacing="1" w:line="480" w:lineRule="auto"/>
      <w:jc w:val="both"/>
    </w:pPr>
    <w:rPr>
      <w:rFonts w:ascii="Times New Roman" w:eastAsia="SimSun" w:hAnsi="Times New Roman" w:cs="Times New Roman"/>
      <w:i/>
      <w:iCs/>
      <w:color w:val="000000"/>
      <w:sz w:val="24"/>
      <w:szCs w:val="24"/>
      <w:lang w:eastAsia="en-AU"/>
    </w:rPr>
  </w:style>
  <w:style w:type="character" w:customStyle="1" w:styleId="Tabletextbold">
    <w:name w:val="Table text bold"/>
    <w:rPr>
      <w:b/>
    </w:rPr>
  </w:style>
  <w:style w:type="paragraph" w:customStyle="1" w:styleId="bolditalic">
    <w:name w:val="bold italic"/>
    <w:basedOn w:val="Normal"/>
    <w:pPr>
      <w:autoSpaceDE w:val="0"/>
      <w:autoSpaceDN w:val="0"/>
      <w:adjustRightInd w:val="0"/>
      <w:spacing w:after="100" w:afterAutospacing="1" w:line="480" w:lineRule="auto"/>
      <w:jc w:val="both"/>
    </w:pPr>
    <w:rPr>
      <w:rFonts w:ascii="Times New Roman" w:eastAsia="SimSun" w:hAnsi="Times New Roman" w:cs="Times New Roman"/>
      <w:b/>
      <w:i/>
      <w:sz w:val="24"/>
      <w:szCs w:val="24"/>
      <w:lang w:eastAsia="en-AU"/>
    </w:rPr>
  </w:style>
  <w:style w:type="paragraph" w:customStyle="1" w:styleId="legend">
    <w:name w:val="legend"/>
    <w:basedOn w:val="Normal"/>
    <w:pPr>
      <w:autoSpaceDE w:val="0"/>
      <w:autoSpaceDN w:val="0"/>
      <w:adjustRightInd w:val="0"/>
      <w:spacing w:after="240" w:line="240" w:lineRule="auto"/>
      <w:contextualSpacing/>
      <w:jc w:val="both"/>
    </w:pPr>
    <w:rPr>
      <w:rFonts w:ascii="Times New Roman" w:eastAsia="SimSun" w:hAnsi="Times New Roman" w:cs="Times New Roman"/>
      <w:bCs/>
      <w:sz w:val="20"/>
      <w:szCs w:val="24"/>
      <w:lang w:val="en-AU" w:eastAsia="en-AU"/>
    </w:rPr>
  </w:style>
  <w:style w:type="paragraph" w:customStyle="1" w:styleId="tabletextindent">
    <w:name w:val="table text indent"/>
    <w:basedOn w:val="Tabletext"/>
    <w:pPr>
      <w:widowControl w:val="0"/>
      <w:ind w:left="284"/>
    </w:pPr>
  </w:style>
  <w:style w:type="character" w:customStyle="1" w:styleId="QuoteChar1">
    <w:name w:val="Quote Char1"/>
    <w:basedOn w:val="DefaultParagraphFont"/>
    <w:uiPriority w:val="29"/>
    <w:rPr>
      <w:rFonts w:ascii="Times" w:eastAsia="Times" w:hAnsi="Times" w:cs="Times New Roman"/>
      <w:i/>
      <w:iCs/>
      <w:color w:val="000000" w:themeColor="text1"/>
      <w:sz w:val="24"/>
      <w:szCs w:val="20"/>
      <w:lang w:val="pl-PL"/>
    </w:rPr>
  </w:style>
  <w:style w:type="table" w:customStyle="1" w:styleId="Tableblue2">
    <w:name w:val="Table blue2"/>
    <w:basedOn w:val="TableNormal"/>
    <w:uiPriority w:val="59"/>
    <w:rPr>
      <w:rFonts w:eastAsia="Times New Roman" w:cs="Arial"/>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GridTable1Light1">
    <w:name w:val="Grid Table 1 Light1"/>
    <w:basedOn w:val="TableNormal"/>
    <w:uiPriority w:val="46"/>
    <w:rPr>
      <w:rFonts w:ascii="Calibri" w:eastAsia="Calibri" w:hAnsi="Calibri" w:cs="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blue3">
    <w:name w:val="Table blue3"/>
    <w:basedOn w:val="TableNormal"/>
    <w:uiPriority w:val="59"/>
    <w:rPr>
      <w:rFonts w:eastAsia="Times New Roman" w:cs="Arial"/>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4">
    <w:name w:val="Table blue4"/>
    <w:basedOn w:val="TableNormal"/>
    <w:uiPriority w:val="59"/>
    <w:rPr>
      <w:rFonts w:eastAsia="Times New Roman" w:cs="Arial"/>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5">
    <w:name w:val="Table blue5"/>
    <w:basedOn w:val="TableNormal"/>
    <w:uiPriority w:val="59"/>
    <w:rPr>
      <w:rFonts w:eastAsia="Times New Roman" w:cs="Arial"/>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6">
    <w:name w:val="Table blue6"/>
    <w:basedOn w:val="TableNormal"/>
    <w:uiPriority w:val="59"/>
    <w:rPr>
      <w:rFonts w:eastAsia="Times New Roman" w:cs="Arial"/>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7">
    <w:name w:val="Table blue7"/>
    <w:basedOn w:val="TableNormal"/>
    <w:uiPriority w:val="59"/>
    <w:rPr>
      <w:rFonts w:eastAsia="Times New Roman" w:cs="Arial"/>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8">
    <w:name w:val="Table blue8"/>
    <w:basedOn w:val="TableNormal"/>
    <w:uiPriority w:val="59"/>
    <w:rPr>
      <w:rFonts w:eastAsia="Times New Roman" w:cs="Arial"/>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9">
    <w:name w:val="Table blue9"/>
    <w:basedOn w:val="TableNormal"/>
    <w:uiPriority w:val="59"/>
    <w:rPr>
      <w:rFonts w:eastAsia="Times New Roman" w:cs="Arial"/>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10">
    <w:name w:val="Table blue10"/>
    <w:basedOn w:val="TableNormal"/>
    <w:uiPriority w:val="59"/>
    <w:rPr>
      <w:rFonts w:eastAsia="Times New Roman" w:cs="Arial"/>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11">
    <w:name w:val="Table blue11"/>
    <w:basedOn w:val="TableNormal"/>
    <w:uiPriority w:val="59"/>
    <w:rPr>
      <w:rFonts w:eastAsia="Times New Roman" w:cs="Arial"/>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12">
    <w:name w:val="Table blue12"/>
    <w:basedOn w:val="TableNormal"/>
    <w:uiPriority w:val="59"/>
    <w:rPr>
      <w:rFonts w:eastAsia="Times New Roman" w:cs="Arial"/>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Grid4">
    <w:name w:val="Table Grid4"/>
    <w:basedOn w:val="TableNormal"/>
    <w:uiPriority w:val="3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yperlink1">
    <w:name w:val="Hyperlink1"/>
    <w:uiPriority w:val="99"/>
    <w:unhideWhenUsed/>
    <w:qFormat/>
    <w:rPr>
      <w:color w:val="0000FF"/>
      <w:u w:val="single"/>
    </w:rPr>
  </w:style>
  <w:style w:type="table" w:customStyle="1" w:styleId="TableGrid6">
    <w:name w:val="Table Grid6"/>
    <w:basedOn w:val="TableNormal"/>
    <w:uiPriority w:val="59"/>
    <w:rPr>
      <w:rFonts w:ascii="Calibri" w:hAnsi="Calibri"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Pr>
      <w:rFonts w:ascii="Helvetica" w:eastAsia="ヒラギノ角ゴ Pro W3" w:hAnsi="Helvetica"/>
      <w:color w:val="000000"/>
      <w:sz w:val="24"/>
      <w:lang w:eastAsia="en-AU"/>
    </w:rPr>
  </w:style>
  <w:style w:type="table" w:customStyle="1" w:styleId="TableGrid7">
    <w:name w:val="Table Grid7"/>
    <w:basedOn w:val="TableNormal"/>
    <w:uiPriority w:val="99"/>
    <w:qFormat/>
    <w:rPr>
      <w:rFonts w:ascii="Calibri" w:hAnsi="Calibri"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清單段落1"/>
    <w:basedOn w:val="Normal"/>
    <w:pPr>
      <w:spacing w:after="0" w:line="240" w:lineRule="auto"/>
      <w:ind w:leftChars="200" w:left="480"/>
    </w:pPr>
    <w:rPr>
      <w:rFonts w:ascii="Times New Roman" w:eastAsia="PMingLiU" w:hAnsi="Times New Roman" w:cs="Times New Roman"/>
      <w:color w:val="000000"/>
      <w:sz w:val="24"/>
      <w:szCs w:val="24"/>
      <w:lang w:eastAsia="zh-TW"/>
    </w:rPr>
  </w:style>
  <w:style w:type="table" w:customStyle="1" w:styleId="TableGrid8">
    <w:name w:val="Table Grid8"/>
    <w:basedOn w:val="TableNormal"/>
    <w:uiPriority w:val="59"/>
    <w:rPr>
      <w:rFonts w:ascii="Calibri" w:hAnsi="Calibri"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Pr>
      <w:rFonts w:ascii="Calibri" w:eastAsia="Times New Roman" w:hAnsi="Calibri" w:cs="Arial"/>
      <w:color w:val="000000"/>
      <w:kern w:val="2"/>
      <w:sz w:val="24"/>
      <w:lang w:eastAsia="zh-TW"/>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DateChar">
    <w:name w:val="Date Char"/>
    <w:basedOn w:val="DefaultParagraphFont"/>
    <w:link w:val="Date"/>
    <w:uiPriority w:val="99"/>
    <w:qFormat/>
    <w:rPr>
      <w:rFonts w:ascii="Times New Roman" w:eastAsia="Times New Roman" w:hAnsi="Times New Roman" w:cs="Times New Roman"/>
      <w:sz w:val="24"/>
      <w:szCs w:val="24"/>
      <w:lang w:eastAsia="zh-TW"/>
    </w:rPr>
  </w:style>
  <w:style w:type="character" w:customStyle="1" w:styleId="facebook-share">
    <w:name w:val="facebook-share"/>
    <w:basedOn w:val="DefaultParagraphFont"/>
  </w:style>
  <w:style w:type="character" w:customStyle="1" w:styleId="facebook-share-label">
    <w:name w:val="facebook-share-label"/>
    <w:basedOn w:val="DefaultParagraphFont"/>
  </w:style>
  <w:style w:type="character" w:customStyle="1" w:styleId="facebook-share-count">
    <w:name w:val="facebook-share-count"/>
    <w:basedOn w:val="DefaultParagraphFont"/>
  </w:style>
  <w:style w:type="character" w:customStyle="1" w:styleId="pin1402404624539pinitbuttoncount">
    <w:name w:val="pin_1402404624539_pin_it_button_count"/>
    <w:basedOn w:val="DefaultParagraphFont"/>
  </w:style>
  <w:style w:type="character" w:customStyle="1" w:styleId="in-widget">
    <w:name w:val="in-widget"/>
    <w:basedOn w:val="DefaultParagraphFont"/>
  </w:style>
  <w:style w:type="character" w:customStyle="1" w:styleId="in-right">
    <w:name w:val="in-right"/>
    <w:basedOn w:val="DefaultParagraphFont"/>
  </w:style>
  <w:style w:type="paragraph" w:customStyle="1" w:styleId="svarticle">
    <w:name w:val="svarticle"/>
    <w:basedOn w:val="Normal"/>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normaltext">
    <w:name w:val="normaltext"/>
    <w:basedOn w:val="DefaultParagraphFont"/>
  </w:style>
  <w:style w:type="character" w:customStyle="1" w:styleId="EndNoteBibliographyTitle0">
    <w:name w:val="EndNote Bibliography Title 字元"/>
    <w:basedOn w:val="DefaultParagraphFont"/>
    <w:rPr>
      <w:rFonts w:ascii="Times New Roman" w:eastAsia="Times New Roman" w:hAnsi="Times New Roman" w:cs="Times New Roman"/>
      <w:sz w:val="24"/>
      <w:szCs w:val="24"/>
      <w:lang w:eastAsia="zh-TW"/>
    </w:rPr>
  </w:style>
  <w:style w:type="character" w:customStyle="1" w:styleId="EndNoteBibliography0">
    <w:name w:val="EndNote Bibliography 字元"/>
    <w:basedOn w:val="DefaultParagraphFont"/>
    <w:rPr>
      <w:rFonts w:ascii="Times New Roman" w:eastAsia="Times New Roman" w:hAnsi="Times New Roman" w:cs="Times New Roman"/>
      <w:sz w:val="24"/>
      <w:szCs w:val="24"/>
      <w:lang w:eastAsia="zh-TW"/>
    </w:rPr>
  </w:style>
  <w:style w:type="table" w:customStyle="1" w:styleId="LightShading11">
    <w:name w:val="Light Shading11"/>
    <w:basedOn w:val="TableNormal"/>
    <w:uiPriority w:val="60"/>
    <w:rPr>
      <w:rFonts w:ascii="Calibri" w:hAnsi="Calibri" w:cs="Arial"/>
      <w:color w:val="000000"/>
      <w:szCs w:val="28"/>
      <w:lang w:eastAsia="en-AU" w:bidi="th-TH"/>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Pr>
      <w:rFonts w:ascii="Calibri" w:hAnsi="Calibri" w:cs="Arial"/>
      <w:color w:val="000000"/>
      <w:szCs w:val="28"/>
      <w:lang w:eastAsia="en-AU" w:bidi="th-TH"/>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OC11">
    <w:name w:val="TOC 11"/>
    <w:basedOn w:val="Normal"/>
    <w:next w:val="Normal"/>
    <w:autoRedefine/>
    <w:uiPriority w:val="39"/>
    <w:unhideWhenUsed/>
    <w:pPr>
      <w:tabs>
        <w:tab w:val="right" w:leader="dot" w:pos="8494"/>
      </w:tabs>
      <w:spacing w:after="0" w:line="360" w:lineRule="auto"/>
    </w:pPr>
    <w:rPr>
      <w:rFonts w:ascii="Times New Roman" w:eastAsia="MS Gothic" w:hAnsi="Times New Roman" w:cs="Times New Roman"/>
      <w:b/>
      <w:bCs/>
      <w:sz w:val="24"/>
      <w:szCs w:val="24"/>
      <w:lang w:bidi="th-TH"/>
    </w:rPr>
  </w:style>
  <w:style w:type="character" w:customStyle="1" w:styleId="j-jk9ej-pjvnoc">
    <w:name w:val="j-jk9ej-pjvnoc"/>
    <w:basedOn w:val="DefaultParagraphFont"/>
  </w:style>
  <w:style w:type="paragraph" w:customStyle="1" w:styleId="p3">
    <w:name w:val="p3"/>
    <w:basedOn w:val="Normal"/>
    <w:pPr>
      <w:spacing w:after="0" w:line="240" w:lineRule="auto"/>
      <w:ind w:left="360" w:hanging="360"/>
    </w:pPr>
    <w:rPr>
      <w:rFonts w:ascii="Arial Narrow" w:eastAsia="Times New Roman" w:hAnsi="Arial Narrow" w:cs="Times New Roman"/>
      <w:sz w:val="18"/>
      <w:szCs w:val="20"/>
      <w:lang w:val="en-GB" w:eastAsia="en-AU"/>
    </w:rPr>
  </w:style>
  <w:style w:type="table" w:customStyle="1" w:styleId="TableGrid9">
    <w:name w:val="Table Grid9"/>
    <w:basedOn w:val="TableNormal"/>
    <w:uiPriority w:val="59"/>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59"/>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59"/>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59"/>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1">
    <w:name w:val="Medium Shading 1 - Accent 51"/>
    <w:basedOn w:val="TableNormal"/>
    <w:uiPriority w:val="63"/>
    <w:rPr>
      <w:rFonts w:ascii="Calibri" w:eastAsia="Cambria" w:hAnsi="Calibri" w:cs="Arial"/>
      <w:szCs w:val="28"/>
      <w:lang w:val="en-AU" w:eastAsia="en-AU" w:bidi="th-TH"/>
    </w:rPr>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52">
    <w:name w:val="Medium Shading 1 - Accent 52"/>
    <w:basedOn w:val="TableNormal"/>
    <w:uiPriority w:val="63"/>
    <w:qFormat/>
    <w:rPr>
      <w:rFonts w:ascii="Calibri" w:hAnsi="Calibri" w:cs="Arial"/>
      <w:szCs w:val="28"/>
      <w:lang w:eastAsia="en-AU" w:bidi="th-TH"/>
    </w:rPr>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521">
    <w:name w:val="Medium Shading 1 - Accent 521"/>
    <w:basedOn w:val="TableNormal"/>
    <w:uiPriority w:val="63"/>
    <w:rPr>
      <w:rFonts w:ascii="Calibri" w:eastAsia="Calibri" w:hAnsi="Calibri" w:cs="Arial"/>
      <w:szCs w:val="28"/>
      <w:lang w:val="en-AU" w:eastAsia="en-AU" w:bidi="th-TH"/>
    </w:rPr>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4">
    <w:name w:val="Table Grid14"/>
    <w:basedOn w:val="TableNormal"/>
    <w:uiPriority w:val="59"/>
    <w:rPr>
      <w:rFonts w:ascii="Calibri" w:eastAsia="Calibri" w:hAnsi="Calibri" w:cs="Arial"/>
      <w:szCs w:val="28"/>
      <w:lang w:val="en-AU" w:eastAsia="en-AU"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59"/>
    <w:rPr>
      <w:rFonts w:ascii="Calibri" w:hAnsi="Calibri" w:cs="Arial"/>
      <w:szCs w:val="28"/>
      <w:lang w:eastAsia="en-AU"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59"/>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pPr>
      <w:spacing w:after="200" w:line="240" w:lineRule="auto"/>
    </w:pPr>
    <w:rPr>
      <w:rFonts w:ascii="Calibri" w:hAnsi="Calibri" w:cs="Arial"/>
      <w:b/>
      <w:bCs/>
      <w:color w:val="4F81BD"/>
      <w:sz w:val="18"/>
      <w:szCs w:val="18"/>
      <w:lang w:val="en-AU" w:eastAsia="en-AU"/>
    </w:rPr>
  </w:style>
  <w:style w:type="table" w:customStyle="1" w:styleId="TableGrid17">
    <w:name w:val="Table Grid17"/>
    <w:basedOn w:val="TableNormal"/>
    <w:uiPriority w:val="59"/>
    <w:rPr>
      <w:rFonts w:ascii="Calibri" w:hAnsi="Calibri" w:cs="Arial"/>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59"/>
    <w:rPr>
      <w:rFonts w:ascii="Calibri" w:eastAsia="Cambria" w:hAnsi="Calibri" w:cs="Arial"/>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Pr>
      <w:rFonts w:ascii="Calibri" w:hAnsi="Calibri" w:cs="Arial"/>
      <w:szCs w:val="28"/>
      <w:lang w:bidi="th-TH"/>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61"/>
    <w:rPr>
      <w:rFonts w:ascii="Calibri" w:hAnsi="Calibri" w:cs="Arial"/>
      <w:szCs w:val="28"/>
      <w:lang w:bidi="th-TH"/>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41">
    <w:name w:val="Table Grid141"/>
    <w:basedOn w:val="TableNormal"/>
    <w:uiPriority w:val="59"/>
    <w:rPr>
      <w:rFonts w:ascii="Calibri" w:eastAsia="Calibri" w:hAnsi="Calibri" w:cs="Arial"/>
      <w:szCs w:val="28"/>
      <w:lang w:val="en-AU"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4">
    <w:name w:val="p4"/>
    <w:basedOn w:val="Normal"/>
    <w:pPr>
      <w:spacing w:after="0" w:line="240" w:lineRule="auto"/>
      <w:ind w:left="720"/>
    </w:pPr>
    <w:rPr>
      <w:rFonts w:ascii="Arial" w:eastAsia="Times New Roman" w:hAnsi="Arial" w:cs="Times New Roman"/>
      <w:sz w:val="20"/>
      <w:szCs w:val="20"/>
      <w:lang w:val="en-GB"/>
    </w:rPr>
  </w:style>
  <w:style w:type="paragraph" w:customStyle="1" w:styleId="p5">
    <w:name w:val="p5"/>
    <w:basedOn w:val="Normal"/>
    <w:pPr>
      <w:spacing w:after="0" w:line="240" w:lineRule="auto"/>
      <w:ind w:left="2160"/>
    </w:pPr>
    <w:rPr>
      <w:rFonts w:ascii="Arial Narrow" w:eastAsia="Times New Roman" w:hAnsi="Arial Narrow" w:cs="Times New Roman"/>
      <w:sz w:val="20"/>
      <w:szCs w:val="20"/>
      <w:lang w:val="en-GB"/>
    </w:rPr>
  </w:style>
  <w:style w:type="paragraph" w:customStyle="1" w:styleId="p1">
    <w:name w:val="p1"/>
    <w:basedOn w:val="Normal"/>
    <w:qFormat/>
    <w:pPr>
      <w:spacing w:before="120" w:after="0" w:line="240" w:lineRule="auto"/>
      <w:ind w:left="432" w:hanging="432"/>
    </w:pPr>
    <w:rPr>
      <w:rFonts w:ascii="Univers" w:eastAsia="Times New Roman" w:hAnsi="Univers" w:cs="Times New Roman"/>
      <w:sz w:val="16"/>
      <w:szCs w:val="20"/>
      <w:lang w:val="en-AU"/>
    </w:rPr>
  </w:style>
  <w:style w:type="paragraph" w:customStyle="1" w:styleId="pa">
    <w:name w:val="pa"/>
    <w:basedOn w:val="p1"/>
  </w:style>
  <w:style w:type="paragraph" w:customStyle="1" w:styleId="pb">
    <w:name w:val="pb"/>
    <w:basedOn w:val="pa"/>
  </w:style>
  <w:style w:type="paragraph" w:customStyle="1" w:styleId="pc">
    <w:name w:val="pc"/>
    <w:basedOn w:val="pb"/>
  </w:style>
  <w:style w:type="paragraph" w:customStyle="1" w:styleId="comment">
    <w:name w:val="comment"/>
    <w:basedOn w:val="p3"/>
  </w:style>
  <w:style w:type="paragraph" w:customStyle="1" w:styleId="Note">
    <w:name w:val="Note"/>
    <w:basedOn w:val="Normal"/>
    <w:pPr>
      <w:tabs>
        <w:tab w:val="left" w:pos="1710"/>
        <w:tab w:val="left" w:pos="2160"/>
      </w:tabs>
      <w:spacing w:after="0" w:line="240" w:lineRule="auto"/>
    </w:pPr>
    <w:rPr>
      <w:rFonts w:ascii="Arial" w:eastAsia="Times New Roman" w:hAnsi="Arial" w:cs="Times New Roman"/>
      <w:sz w:val="16"/>
      <w:szCs w:val="20"/>
      <w:lang w:val="en-GB"/>
    </w:rPr>
  </w:style>
  <w:style w:type="table" w:customStyle="1" w:styleId="TableGrid19">
    <w:name w:val="Table Grid19"/>
    <w:basedOn w:val="TableNormal"/>
    <w:rPr>
      <w:rFonts w:eastAsia="Times New Roman"/>
      <w:lang w:val="en-AU" w:eastAsia="en-AU"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DHS">
    <w:name w:val="Body DHS"/>
    <w:pPr>
      <w:widowControl w:val="0"/>
      <w:suppressAutoHyphens/>
      <w:overflowPunct w:val="0"/>
      <w:autoSpaceDE w:val="0"/>
      <w:autoSpaceDN w:val="0"/>
      <w:adjustRightInd w:val="0"/>
      <w:spacing w:after="180" w:line="260" w:lineRule="exact"/>
      <w:textAlignment w:val="baseline"/>
    </w:pPr>
    <w:rPr>
      <w:rFonts w:ascii="Book Antiqua" w:eastAsia="Times New Roman" w:hAnsi="Book Antiqua"/>
      <w:sz w:val="21"/>
      <w:lang w:val="en-AU"/>
    </w:rPr>
  </w:style>
  <w:style w:type="table" w:customStyle="1" w:styleId="TableGrid110">
    <w:name w:val="Table Grid110"/>
    <w:basedOn w:val="TableNormal"/>
    <w:uiPriority w:val="59"/>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59"/>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59"/>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lmstring-name">
    <w:name w:val="nlm_string-name"/>
    <w:basedOn w:val="DefaultParagraphFont"/>
  </w:style>
  <w:style w:type="table" w:customStyle="1" w:styleId="LightList-Accent12">
    <w:name w:val="Light List - Accent 12"/>
    <w:basedOn w:val="TableNormal"/>
    <w:uiPriority w:val="61"/>
    <w:rPr>
      <w:rFonts w:ascii="Calibri" w:eastAsia="Calibri" w:hAnsi="Calibri" w:cs="Arial"/>
      <w:szCs w:val="28"/>
      <w:lang w:val="en-AU" w:bidi="th-TH"/>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TableNormal"/>
    <w:uiPriority w:val="61"/>
    <w:rPr>
      <w:rFonts w:ascii="Calibri" w:eastAsia="Calibri" w:hAnsi="Calibri" w:cs="Arial"/>
      <w:szCs w:val="28"/>
      <w:lang w:val="en-AU" w:bidi="th-TH"/>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lockemailwithname">
    <w:name w:val="blockemailwithname"/>
  </w:style>
  <w:style w:type="character" w:customStyle="1" w:styleId="normalchar1">
    <w:name w:val="normal__char1"/>
    <w:rPr>
      <w:rFonts w:ascii="Garamond" w:hAnsi="Garamond" w:hint="default"/>
      <w:sz w:val="24"/>
      <w:szCs w:val="24"/>
    </w:rPr>
  </w:style>
  <w:style w:type="paragraph" w:customStyle="1" w:styleId="ab">
    <w:name w:val="바탕글"/>
    <w:basedOn w:val="Normal"/>
    <w:pPr>
      <w:widowControl w:val="0"/>
      <w:shd w:val="clear" w:color="auto" w:fill="FFFFFF"/>
      <w:wordWrap w:val="0"/>
      <w:autoSpaceDE w:val="0"/>
      <w:autoSpaceDN w:val="0"/>
      <w:snapToGrid w:val="0"/>
      <w:spacing w:after="0" w:line="384" w:lineRule="auto"/>
      <w:jc w:val="both"/>
      <w:textAlignment w:val="baseline"/>
    </w:pPr>
    <w:rPr>
      <w:rFonts w:ascii="Gulim" w:eastAsia="Gulim" w:hAnsi="Gulim" w:cs="Gulim"/>
      <w:color w:val="000000"/>
      <w:sz w:val="20"/>
      <w:szCs w:val="20"/>
      <w:lang w:eastAsia="ko-KR"/>
    </w:rPr>
  </w:style>
  <w:style w:type="paragraph" w:customStyle="1" w:styleId="Ttulo21">
    <w:name w:val="Título 21"/>
    <w:basedOn w:val="Normal"/>
    <w:next w:val="Normal"/>
    <w:link w:val="Ttulo2Carcter"/>
    <w:uiPriority w:val="9"/>
    <w:unhideWhenUsed/>
    <w:pPr>
      <w:spacing w:before="120" w:after="120" w:line="360" w:lineRule="auto"/>
      <w:jc w:val="both"/>
      <w:outlineLvl w:val="1"/>
    </w:pPr>
    <w:rPr>
      <w:rFonts w:ascii="Times New Roman" w:eastAsia="Times New Roman" w:hAnsi="Times New Roman" w:cs="Times New Roman"/>
      <w:i/>
      <w:sz w:val="24"/>
      <w:szCs w:val="28"/>
      <w:lang w:val="pt-PT"/>
    </w:rPr>
  </w:style>
  <w:style w:type="character" w:customStyle="1" w:styleId="Ttulo2Carcter">
    <w:name w:val="Título 2 Carácter"/>
    <w:link w:val="Ttulo21"/>
    <w:uiPriority w:val="9"/>
    <w:rPr>
      <w:rFonts w:ascii="Times New Roman" w:eastAsia="Times New Roman" w:hAnsi="Times New Roman" w:cs="Times New Roman"/>
      <w:i/>
      <w:sz w:val="24"/>
      <w:szCs w:val="28"/>
      <w:lang w:val="pt-PT"/>
    </w:rPr>
  </w:style>
  <w:style w:type="paragraph" w:customStyle="1" w:styleId="Ttulo11">
    <w:name w:val="Título 11"/>
    <w:basedOn w:val="Normal"/>
    <w:next w:val="Normal"/>
    <w:link w:val="Ttulo1Carcter"/>
    <w:uiPriority w:val="9"/>
    <w:pPr>
      <w:spacing w:before="240" w:after="120" w:line="360" w:lineRule="auto"/>
      <w:contextualSpacing/>
      <w:jc w:val="both"/>
      <w:outlineLvl w:val="0"/>
    </w:pPr>
    <w:rPr>
      <w:rFonts w:ascii="Times New Roman" w:eastAsia="Times New Roman" w:hAnsi="Times New Roman" w:cs="Times New Roman"/>
      <w:b/>
      <w:spacing w:val="5"/>
      <w:sz w:val="28"/>
      <w:szCs w:val="36"/>
      <w:lang w:val="pt-PT"/>
    </w:rPr>
  </w:style>
  <w:style w:type="character" w:customStyle="1" w:styleId="Ttulo1Carcter">
    <w:name w:val="Título 1 Carácter"/>
    <w:link w:val="Ttulo11"/>
    <w:uiPriority w:val="9"/>
    <w:rPr>
      <w:rFonts w:ascii="Times New Roman" w:eastAsia="Times New Roman" w:hAnsi="Times New Roman" w:cs="Times New Roman"/>
      <w:b/>
      <w:spacing w:val="5"/>
      <w:sz w:val="28"/>
      <w:szCs w:val="36"/>
      <w:lang w:val="pt-PT"/>
    </w:rPr>
  </w:style>
  <w:style w:type="character" w:customStyle="1" w:styleId="textlabel1">
    <w:name w:val="textlabel1"/>
    <w:rPr>
      <w:rFonts w:ascii="Arial" w:hAnsi="Arial" w:cs="Arial" w:hint="default"/>
      <w:b/>
      <w:bCs/>
      <w:color w:val="000000"/>
      <w:sz w:val="18"/>
      <w:szCs w:val="18"/>
      <w:u w:val="none"/>
    </w:rPr>
  </w:style>
  <w:style w:type="character" w:customStyle="1" w:styleId="text1">
    <w:name w:val="text1"/>
    <w:rPr>
      <w:rFonts w:ascii="Arial" w:hAnsi="Arial" w:cs="Arial" w:hint="default"/>
      <w:color w:val="000000"/>
      <w:sz w:val="18"/>
      <w:szCs w:val="18"/>
      <w:u w:val="none"/>
    </w:rPr>
  </w:style>
  <w:style w:type="paragraph" w:customStyle="1" w:styleId="Nomedotrabalho">
    <w:name w:val="Nome do trabalho"/>
    <w:pPr>
      <w:spacing w:after="360"/>
      <w:jc w:val="center"/>
    </w:pPr>
    <w:rPr>
      <w:rFonts w:ascii="Garamond" w:eastAsia="Times New Roman" w:hAnsi="Garamond"/>
      <w:b/>
      <w:bCs/>
      <w:caps/>
      <w:sz w:val="52"/>
      <w:szCs w:val="52"/>
      <w:lang w:val="pt-PT"/>
    </w:rPr>
  </w:style>
  <w:style w:type="character" w:customStyle="1" w:styleId="longtext1char1">
    <w:name w:val="long__text1__char1"/>
    <w:rPr>
      <w:sz w:val="20"/>
      <w:szCs w:val="20"/>
    </w:rPr>
  </w:style>
  <w:style w:type="character" w:customStyle="1" w:styleId="shorttext">
    <w:name w:val="short_text"/>
    <w:basedOn w:val="DefaultParagraphFont"/>
  </w:style>
  <w:style w:type="character" w:customStyle="1" w:styleId="identifier-type">
    <w:name w:val="identifier-type"/>
    <w:basedOn w:val="DefaultParagraphFont"/>
  </w:style>
  <w:style w:type="character" w:customStyle="1" w:styleId="RodapCarter">
    <w:name w:val="Rodapé Caráter"/>
    <w:uiPriority w:val="99"/>
  </w:style>
  <w:style w:type="character" w:customStyle="1" w:styleId="author">
    <w:name w:val="author"/>
  </w:style>
  <w:style w:type="table" w:customStyle="1" w:styleId="DefaultTable">
    <w:name w:val="Default Table"/>
    <w:rPr>
      <w:rFonts w:eastAsia="Batang"/>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lad1">
    <w:name w:val="il_ad1"/>
    <w:basedOn w:val="DefaultParagraphFont"/>
  </w:style>
  <w:style w:type="character" w:customStyle="1" w:styleId="journal7">
    <w:name w:val="journal7"/>
    <w:basedOn w:val="DefaultParagraphFont"/>
    <w:rPr>
      <w:i/>
      <w:iCs/>
    </w:rPr>
  </w:style>
  <w:style w:type="character" w:customStyle="1" w:styleId="jnumber1">
    <w:name w:val="jnumber1"/>
    <w:basedOn w:val="DefaultParagraphFont"/>
    <w:rPr>
      <w:b/>
      <w:bCs/>
    </w:rPr>
  </w:style>
  <w:style w:type="character" w:customStyle="1" w:styleId="subheadline">
    <w:name w:val="subheadline"/>
    <w:basedOn w:val="DefaultParagraphFont"/>
  </w:style>
  <w:style w:type="character" w:customStyle="1" w:styleId="CharAttribute29">
    <w:name w:val="CharAttribute29"/>
    <w:rPr>
      <w:rFonts w:ascii="Arial Narrow" w:eastAsia="Century" w:hAnsi="Century"/>
      <w:b/>
      <w:sz w:val="22"/>
    </w:rPr>
  </w:style>
  <w:style w:type="character" w:customStyle="1" w:styleId="CharAttribute34">
    <w:name w:val="CharAttribute34"/>
    <w:rPr>
      <w:rFonts w:ascii="Arial Narrow" w:eastAsia="Arial Narrow" w:hAnsi="Arial Narrow"/>
      <w:b/>
      <w:sz w:val="22"/>
    </w:rPr>
  </w:style>
  <w:style w:type="character" w:customStyle="1" w:styleId="CharAttribute30">
    <w:name w:val="CharAttribute30"/>
    <w:rPr>
      <w:rFonts w:ascii="Arial Narrow" w:eastAsia="MS Mincho" w:hAnsi="MS Mincho"/>
      <w:b/>
      <w:sz w:val="22"/>
    </w:rPr>
  </w:style>
  <w:style w:type="paragraph" w:customStyle="1" w:styleId="ParaAttribute4">
    <w:name w:val="ParaAttribute4"/>
    <w:pPr>
      <w:widowControl w:val="0"/>
      <w:wordWrap w:val="0"/>
      <w:ind w:left="60" w:right="60"/>
      <w:jc w:val="center"/>
    </w:pPr>
    <w:rPr>
      <w:rFonts w:eastAsia="Batang"/>
      <w:lang w:eastAsia="ja-JP"/>
    </w:rPr>
  </w:style>
  <w:style w:type="paragraph" w:customStyle="1" w:styleId="ParaAttribute14">
    <w:name w:val="ParaAttribute14"/>
    <w:pPr>
      <w:widowControl w:val="0"/>
      <w:wordWrap w:val="0"/>
      <w:ind w:left="60" w:right="60"/>
    </w:pPr>
    <w:rPr>
      <w:rFonts w:eastAsia="Batang"/>
      <w:lang w:eastAsia="ja-JP"/>
    </w:rPr>
  </w:style>
  <w:style w:type="character" w:customStyle="1" w:styleId="CharAttribute44">
    <w:name w:val="CharAttribute44"/>
    <w:rPr>
      <w:rFonts w:ascii="Arial Narrow" w:eastAsia="Arial Narrow" w:hAnsi="Arial Narrow"/>
    </w:rPr>
  </w:style>
  <w:style w:type="character" w:customStyle="1" w:styleId="CharAttribute48">
    <w:name w:val="CharAttribute48"/>
    <w:rPr>
      <w:rFonts w:ascii="Arial Narrow" w:eastAsia="Arial Narrow" w:hAnsi="Arial Narrow"/>
      <w:b/>
    </w:rPr>
  </w:style>
  <w:style w:type="character" w:customStyle="1" w:styleId="FollowedHyperlink1">
    <w:name w:val="FollowedHyperlink1"/>
    <w:basedOn w:val="DefaultParagraphFont"/>
    <w:uiPriority w:val="99"/>
    <w:unhideWhenUsed/>
    <w:qFormat/>
    <w:rPr>
      <w:color w:val="800080"/>
      <w:u w:val="single"/>
    </w:rPr>
  </w:style>
  <w:style w:type="paragraph" w:customStyle="1" w:styleId="font5">
    <w:name w:val="font5"/>
    <w:basedOn w:val="Normal"/>
    <w:pPr>
      <w:spacing w:before="100" w:beforeAutospacing="1" w:after="100" w:afterAutospacing="1" w:line="240" w:lineRule="auto"/>
    </w:pPr>
    <w:rPr>
      <w:rFonts w:ascii="MS PGothic" w:eastAsia="MS PGothic" w:hAnsi="MS PGothic" w:cs="MS PGothic"/>
      <w:sz w:val="12"/>
      <w:szCs w:val="12"/>
      <w:lang w:eastAsia="ja-JP"/>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sz w:val="20"/>
      <w:szCs w:val="20"/>
      <w:lang w:eastAsia="ja-JP"/>
    </w:rPr>
  </w:style>
  <w:style w:type="paragraph" w:customStyle="1" w:styleId="xl71">
    <w:name w:val="xl71"/>
    <w:basedOn w:val="Normal"/>
    <w:pP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2">
    <w:name w:val="xl72"/>
    <w:basedOn w:val="Normal"/>
    <w:pPr>
      <w:pBdr>
        <w:left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3">
    <w:name w:val="xl73"/>
    <w:basedOn w:val="Normal"/>
    <w:pPr>
      <w:pBdr>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4">
    <w:name w:val="xl74"/>
    <w:basedOn w:val="Normal"/>
    <w:pPr>
      <w:pBdr>
        <w:lef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6">
    <w:name w:val="xl76"/>
    <w:basedOn w:val="Normal"/>
    <w:pPr>
      <w:pBdr>
        <w:bottom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7">
    <w:name w:val="xl77"/>
    <w:basedOn w:val="Normal"/>
    <w:pPr>
      <w:pBdr>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8">
    <w:name w:val="xl78"/>
    <w:basedOn w:val="Normal"/>
    <w:pPr>
      <w:pBdr>
        <w:left w:val="single" w:sz="4" w:space="0" w:color="auto"/>
        <w:bottom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b/>
      <w:bCs/>
      <w:sz w:val="20"/>
      <w:szCs w:val="20"/>
      <w:lang w:eastAsia="ja-JP"/>
    </w:rPr>
  </w:style>
  <w:style w:type="paragraph" w:customStyle="1" w:styleId="xl80">
    <w:name w:val="xl80"/>
    <w:basedOn w:val="Normal"/>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paragraph" w:customStyle="1" w:styleId="xl81">
    <w:name w:val="xl81"/>
    <w:basedOn w:val="Normal"/>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paragraph" w:customStyle="1" w:styleId="xl82">
    <w:name w:val="xl82"/>
    <w:basedOn w:val="Normal"/>
    <w:pPr>
      <w:spacing w:before="100" w:beforeAutospacing="1" w:after="100" w:afterAutospacing="1" w:line="240" w:lineRule="auto"/>
    </w:pPr>
    <w:rPr>
      <w:rFonts w:ascii="Times New Roman" w:eastAsia="MS PGothic" w:hAnsi="Times New Roman" w:cs="Times New Roman"/>
      <w:b/>
      <w:bCs/>
      <w:sz w:val="24"/>
      <w:szCs w:val="24"/>
      <w:lang w:eastAsia="ja-JP"/>
    </w:rPr>
  </w:style>
  <w:style w:type="paragraph" w:customStyle="1" w:styleId="xl83">
    <w:name w:val="xl83"/>
    <w:basedOn w:val="Normal"/>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MS PGothic" w:hAnsi="Times New Roman" w:cs="Times New Roman"/>
      <w:sz w:val="20"/>
      <w:szCs w:val="20"/>
      <w:lang w:eastAsia="ja-JP"/>
    </w:rPr>
  </w:style>
  <w:style w:type="paragraph" w:customStyle="1" w:styleId="xl84">
    <w:name w:val="xl84"/>
    <w:basedOn w:val="Normal"/>
    <w:pPr>
      <w:pBdr>
        <w:top w:val="single" w:sz="4" w:space="0" w:color="auto"/>
        <w:bottom w:val="single" w:sz="4" w:space="0" w:color="auto"/>
      </w:pBdr>
      <w:spacing w:before="100" w:beforeAutospacing="1" w:after="100" w:afterAutospacing="1" w:line="240" w:lineRule="auto"/>
      <w:jc w:val="center"/>
    </w:pPr>
    <w:rPr>
      <w:rFonts w:ascii="Times New Roman" w:eastAsia="MS PGothic" w:hAnsi="Times New Roman" w:cs="Times New Roman"/>
      <w:sz w:val="20"/>
      <w:szCs w:val="20"/>
      <w:lang w:eastAsia="ja-JP"/>
    </w:rPr>
  </w:style>
  <w:style w:type="paragraph" w:customStyle="1" w:styleId="xl85">
    <w:name w:val="xl85"/>
    <w:basedOn w:val="Normal"/>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sz w:val="20"/>
      <w:szCs w:val="20"/>
      <w:lang w:eastAsia="ja-JP"/>
    </w:rPr>
  </w:style>
  <w:style w:type="paragraph" w:customStyle="1" w:styleId="xl86">
    <w:name w:val="xl86"/>
    <w:basedOn w:val="Normal"/>
    <w:pPr>
      <w:pBdr>
        <w:top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paragraph" w:customStyle="1" w:styleId="xl87">
    <w:name w:val="xl87"/>
    <w:basedOn w:val="Normal"/>
    <w:pPr>
      <w:pBdr>
        <w:top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paragraph" w:customStyle="1" w:styleId="xl88">
    <w:name w:val="xl88"/>
    <w:basedOn w:val="Normal"/>
    <w:pPr>
      <w:pBdr>
        <w:top w:val="single" w:sz="4" w:space="0" w:color="auto"/>
        <w:left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table" w:customStyle="1" w:styleId="DefaultTable1">
    <w:name w:val="Default Table1"/>
    <w:rPr>
      <w:rFonts w:eastAsia="Batang"/>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
    <w:name w:val="st"/>
  </w:style>
  <w:style w:type="paragraph" w:customStyle="1" w:styleId="Doc1">
    <w:name w:val="Doc1"/>
    <w:basedOn w:val="Normal"/>
    <w:uiPriority w:val="99"/>
    <w:semiHidden/>
    <w:qFormat/>
    <w:pPr>
      <w:autoSpaceDE w:val="0"/>
      <w:autoSpaceDN w:val="0"/>
      <w:adjustRightInd w:val="0"/>
      <w:spacing w:after="0" w:line="240" w:lineRule="auto"/>
    </w:pPr>
    <w:rPr>
      <w:rFonts w:ascii="Times New Roman" w:eastAsia="Times New Roman" w:hAnsi="Times New Roman" w:cs="Times New Roman"/>
      <w:b/>
      <w:sz w:val="28"/>
      <w:szCs w:val="28"/>
      <w:lang w:val="en-SG"/>
    </w:rPr>
  </w:style>
  <w:style w:type="character" w:customStyle="1" w:styleId="uficommentbody">
    <w:name w:val="uficommentbody"/>
    <w:basedOn w:val="DefaultParagraphFont"/>
  </w:style>
  <w:style w:type="paragraph" w:customStyle="1" w:styleId="AuthorAddresses">
    <w:name w:val="Author Addresses"/>
    <w:basedOn w:val="Normal"/>
    <w:pPr>
      <w:spacing w:after="0" w:line="240" w:lineRule="auto"/>
      <w:jc w:val="center"/>
    </w:pPr>
    <w:rPr>
      <w:rFonts w:ascii="Times New Roman" w:eastAsia="Times New Roman" w:hAnsi="Times New Roman" w:cs="Times New Roman"/>
      <w:i/>
      <w:sz w:val="24"/>
      <w:szCs w:val="20"/>
      <w:lang w:val="en-GB"/>
    </w:rPr>
  </w:style>
  <w:style w:type="paragraph" w:customStyle="1" w:styleId="Style2">
    <w:name w:val="Style2"/>
    <w:basedOn w:val="Style1"/>
    <w:link w:val="Style2Char"/>
    <w:qFormat/>
    <w:pPr>
      <w:bidi w:val="0"/>
      <w:spacing w:after="160"/>
    </w:pPr>
    <w:rPr>
      <w:rFonts w:ascii="Times New Roman" w:eastAsia="Times New Roman" w:hAnsi="Times New Roman" w:cs="Times New Roman"/>
      <w:sz w:val="24"/>
      <w:szCs w:val="24"/>
      <w:lang w:val="en-GB"/>
    </w:rPr>
  </w:style>
  <w:style w:type="character" w:customStyle="1" w:styleId="Style2Char">
    <w:name w:val="Style2 Char"/>
    <w:basedOn w:val="Style1Char"/>
    <w:link w:val="Style2"/>
    <w:qFormat/>
    <w:rPr>
      <w:rFonts w:ascii="Times New Roman" w:eastAsia="Times New Roman" w:hAnsi="Times New Roman" w:cs="Times New Roman"/>
      <w:sz w:val="24"/>
      <w:szCs w:val="24"/>
      <w:lang w:val="en-GB"/>
    </w:rPr>
  </w:style>
  <w:style w:type="table" w:customStyle="1" w:styleId="LightShading-Accent11">
    <w:name w:val="Light Shading - Accent 11"/>
    <w:basedOn w:val="TableNormal"/>
    <w:uiPriority w:val="60"/>
    <w:unhideWhenUsed/>
    <w:rPr>
      <w:rFonts w:ascii="Calibri" w:eastAsia="Times New Roman" w:hAnsi="Calibri" w:cs="Arial"/>
      <w:color w:val="365F91"/>
      <w:lang w:val="en-GB"/>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edium-normal">
    <w:name w:val="medium-normal"/>
    <w:basedOn w:val="DefaultParagraphFont"/>
  </w:style>
  <w:style w:type="paragraph" w:customStyle="1" w:styleId="body-paragraph">
    <w:name w:val="body-paragraph"/>
    <w:basedOn w:val="Normal"/>
    <w:pPr>
      <w:spacing w:after="200" w:line="240" w:lineRule="auto"/>
    </w:pPr>
    <w:rPr>
      <w:rFonts w:ascii="Times New Roman" w:eastAsia="Times New Roman" w:hAnsi="Times New Roman" w:cs="Times New Roman"/>
      <w:sz w:val="19"/>
      <w:szCs w:val="19"/>
    </w:rPr>
  </w:style>
  <w:style w:type="character" w:customStyle="1" w:styleId="cit-subtitle">
    <w:name w:val="cit-subtitle"/>
    <w:basedOn w:val="DefaultParagraphFont"/>
  </w:style>
  <w:style w:type="paragraph" w:customStyle="1" w:styleId="Level1">
    <w:name w:val="Level 1"/>
    <w:basedOn w:val="Normal"/>
    <w:pPr>
      <w:widowControl w:val="0"/>
      <w:spacing w:after="0" w:line="240" w:lineRule="auto"/>
    </w:pPr>
    <w:rPr>
      <w:rFonts w:ascii="Times New Roman" w:eastAsia="Times New Roman" w:hAnsi="Times New Roman" w:cs="Times New Roman"/>
      <w:sz w:val="24"/>
      <w:szCs w:val="20"/>
    </w:rPr>
  </w:style>
  <w:style w:type="character" w:customStyle="1" w:styleId="reference-text">
    <w:name w:val="reference-text"/>
    <w:basedOn w:val="DefaultParagraphFont"/>
  </w:style>
  <w:style w:type="character" w:customStyle="1" w:styleId="floated-container">
    <w:name w:val="floated-container"/>
    <w:basedOn w:val="DefaultParagraphFont"/>
  </w:style>
  <w:style w:type="character" w:customStyle="1" w:styleId="source">
    <w:name w:val="source"/>
    <w:basedOn w:val="DefaultParagraphFont"/>
  </w:style>
  <w:style w:type="character" w:customStyle="1" w:styleId="time">
    <w:name w:val="time"/>
    <w:basedOn w:val="DefaultParagraphFont"/>
  </w:style>
  <w:style w:type="character" w:customStyle="1" w:styleId="hlfld-abstract">
    <w:name w:val="hlfld-abstract"/>
    <w:basedOn w:val="DefaultParagraphFont"/>
  </w:style>
  <w:style w:type="paragraph" w:customStyle="1" w:styleId="Textbody">
    <w:name w:val="Text body"/>
    <w:basedOn w:val="Normal"/>
    <w:pPr>
      <w:suppressAutoHyphens/>
      <w:spacing w:after="0" w:line="480" w:lineRule="auto"/>
    </w:pPr>
    <w:rPr>
      <w:rFonts w:ascii="Times New Roman" w:eastAsia="Times New Roman" w:hAnsi="Times New Roman" w:cs="Times New Roman"/>
      <w:sz w:val="24"/>
      <w:szCs w:val="20"/>
    </w:rPr>
  </w:style>
  <w:style w:type="table" w:customStyle="1" w:styleId="ListTable1Light1">
    <w:name w:val="List Table 1 Light1"/>
    <w:basedOn w:val="TableNormal"/>
    <w:uiPriority w:val="99"/>
    <w:rPr>
      <w:lang w:val="en-MY"/>
    </w:rP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212">
    <w:name w:val="List Table 6 Colorful212"/>
    <w:basedOn w:val="TableNormal"/>
    <w:uiPriority w:val="51"/>
    <w:rPr>
      <w:color w:val="000000"/>
      <w:lang w:val="en-MY"/>
    </w:rPr>
    <w:tblPr>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1">
    <w:name w:val="List Table 6 Colorful121"/>
    <w:basedOn w:val="TableNormal"/>
    <w:uiPriority w:val="51"/>
    <w:rPr>
      <w:color w:val="000000"/>
      <w:lang w:val="en-MY"/>
    </w:rPr>
    <w:tblPr>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3">
    <w:name w:val="List Table 6 Colorful3"/>
    <w:basedOn w:val="TableNormal"/>
    <w:uiPriority w:val="99"/>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2">
    <w:name w:val="List Table 6 Colorful12"/>
    <w:basedOn w:val="TableNormal"/>
    <w:uiPriority w:val="51"/>
    <w:rPr>
      <w:color w:val="000000" w:themeColor="text1"/>
      <w:lang w:val="en-MY"/>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1">
    <w:name w:val="List Table 6 Colorful11"/>
    <w:basedOn w:val="TableNormal"/>
    <w:uiPriority w:val="51"/>
    <w:rPr>
      <w:color w:val="000000"/>
      <w:lang w:val="en-MY"/>
    </w:rPr>
    <w:tblPr>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nd-word">
    <w:name w:val="nd-word"/>
  </w:style>
  <w:style w:type="paragraph" w:customStyle="1" w:styleId="MediumList1-Accent41">
    <w:name w:val="Medium List 1 - Accent 41"/>
    <w:hidden/>
    <w:uiPriority w:val="71"/>
    <w:unhideWhenUsed/>
    <w:rPr>
      <w:rFonts w:ascii="Calibri" w:eastAsia="Calibri" w:hAnsi="Calibri"/>
      <w:sz w:val="22"/>
      <w:szCs w:val="22"/>
      <w:lang w:val="en-GB"/>
    </w:rPr>
  </w:style>
  <w:style w:type="character" w:customStyle="1" w:styleId="BodyTextFirstIndentChar">
    <w:name w:val="Body Text First Indent Char"/>
    <w:basedOn w:val="BodyTextChar"/>
    <w:link w:val="BodyTextFirstIndent"/>
    <w:rPr>
      <w:rFonts w:ascii="Calibri" w:eastAsia="Calibri" w:hAnsi="Calibri" w:cs="Times New Roman"/>
      <w:sz w:val="24"/>
      <w:szCs w:val="24"/>
      <w:lang w:val="en-GB"/>
    </w:rPr>
  </w:style>
  <w:style w:type="character" w:customStyle="1" w:styleId="pos">
    <w:name w:val="pos"/>
  </w:style>
  <w:style w:type="character" w:customStyle="1" w:styleId="lbl">
    <w:name w:val="lbl"/>
  </w:style>
  <w:style w:type="character" w:customStyle="1" w:styleId="span">
    <w:name w:val="span"/>
  </w:style>
  <w:style w:type="character" w:customStyle="1" w:styleId="hi">
    <w:name w:val="hi"/>
  </w:style>
  <w:style w:type="character" w:customStyle="1" w:styleId="quote10">
    <w:name w:val="quote1"/>
  </w:style>
  <w:style w:type="character" w:customStyle="1" w:styleId="nowrap">
    <w:name w:val="nowrap"/>
  </w:style>
  <w:style w:type="character" w:customStyle="1" w:styleId="cs1-lock-free">
    <w:name w:val="cs1-lock-free"/>
  </w:style>
  <w:style w:type="paragraph" w:customStyle="1" w:styleId="ColorfulList1">
    <w:name w:val="Colorful List1"/>
    <w:basedOn w:val="Normal"/>
    <w:uiPriority w:val="34"/>
    <w:pPr>
      <w:ind w:left="720"/>
      <w:contextualSpacing/>
    </w:pPr>
    <w:rPr>
      <w:rFonts w:ascii="Times New Roman" w:eastAsia="SimSun" w:hAnsi="Times New Roman" w:cs="Times New Roman"/>
      <w:lang w:val="en-MY"/>
    </w:rPr>
  </w:style>
  <w:style w:type="character" w:customStyle="1" w:styleId="arttitle">
    <w:name w:val="art_title"/>
  </w:style>
  <w:style w:type="character" w:customStyle="1" w:styleId="authors">
    <w:name w:val="authors"/>
  </w:style>
  <w:style w:type="character" w:customStyle="1" w:styleId="date10">
    <w:name w:val="date1"/>
  </w:style>
  <w:style w:type="character" w:customStyle="1" w:styleId="serialtitle">
    <w:name w:val="serial_title"/>
  </w:style>
  <w:style w:type="character" w:customStyle="1" w:styleId="volumeissue">
    <w:name w:val="volume_issue"/>
  </w:style>
  <w:style w:type="character" w:customStyle="1" w:styleId="pagerange">
    <w:name w:val="page_range"/>
  </w:style>
  <w:style w:type="paragraph" w:customStyle="1" w:styleId="Abstract">
    <w:name w:val="Abstract"/>
    <w:basedOn w:val="Normal"/>
    <w:link w:val="AbstractChar"/>
    <w:qFormat/>
    <w:locked/>
    <w:pPr>
      <w:spacing w:after="0" w:line="240" w:lineRule="auto"/>
    </w:pPr>
    <w:rPr>
      <w:rFonts w:ascii="Times New Roman" w:eastAsia="Calibri" w:hAnsi="Times New Roman" w:cs="Times New Roman"/>
      <w:sz w:val="24"/>
    </w:rPr>
  </w:style>
  <w:style w:type="character" w:customStyle="1" w:styleId="AbstractChar">
    <w:name w:val="Abstract Char"/>
    <w:link w:val="Abstract"/>
    <w:rPr>
      <w:rFonts w:ascii="Times New Roman" w:eastAsia="Calibri" w:hAnsi="Times New Roman" w:cs="Times New Roman"/>
      <w:sz w:val="24"/>
    </w:rPr>
  </w:style>
  <w:style w:type="paragraph" w:customStyle="1" w:styleId="Keywords">
    <w:name w:val="Keywords"/>
    <w:basedOn w:val="Normal"/>
    <w:qFormat/>
    <w:locked/>
    <w:pPr>
      <w:spacing w:line="240" w:lineRule="auto"/>
    </w:pPr>
    <w:rPr>
      <w:rFonts w:ascii="Times New Roman" w:eastAsia="Calibri" w:hAnsi="Times New Roman" w:cs="Times New Roman"/>
      <w:sz w:val="24"/>
    </w:rPr>
  </w:style>
  <w:style w:type="paragraph" w:customStyle="1" w:styleId="Paragraph0">
    <w:name w:val="Paragraph"/>
    <w:basedOn w:val="BodyText"/>
    <w:link w:val="ParagraphZchn"/>
    <w:qFormat/>
    <w:locked/>
    <w:pPr>
      <w:autoSpaceDE/>
      <w:autoSpaceDN/>
      <w:adjustRightInd/>
      <w:spacing w:after="160" w:line="360" w:lineRule="auto"/>
    </w:pPr>
    <w:rPr>
      <w:rFonts w:eastAsia="Calibri"/>
      <w:szCs w:val="22"/>
    </w:rPr>
  </w:style>
  <w:style w:type="character" w:customStyle="1" w:styleId="ParagraphZchn">
    <w:name w:val="Paragraph Zchn"/>
    <w:link w:val="Paragraph0"/>
    <w:rPr>
      <w:rFonts w:ascii="Times New Roman" w:eastAsia="Calibri" w:hAnsi="Times New Roman" w:cs="Times New Roman"/>
      <w:sz w:val="24"/>
    </w:rPr>
  </w:style>
  <w:style w:type="paragraph" w:customStyle="1" w:styleId="Acknowledgements">
    <w:name w:val="Acknowledgements"/>
    <w:basedOn w:val="Normal"/>
    <w:locked/>
    <w:pPr>
      <w:tabs>
        <w:tab w:val="left" w:pos="2100"/>
      </w:tabs>
      <w:spacing w:line="240" w:lineRule="auto"/>
    </w:pPr>
    <w:rPr>
      <w:rFonts w:ascii="Times New Roman" w:eastAsia="Calibri" w:hAnsi="Times New Roman" w:cs="Times New Roman"/>
      <w:sz w:val="24"/>
    </w:rPr>
  </w:style>
  <w:style w:type="character" w:customStyle="1" w:styleId="y0nh2bclpzrc">
    <w:name w:val="y0nh2b clpzrc"/>
  </w:style>
  <w:style w:type="paragraph" w:customStyle="1" w:styleId="Pa20">
    <w:name w:val="Pa20"/>
    <w:basedOn w:val="Normal"/>
    <w:next w:val="Normal"/>
    <w:uiPriority w:val="99"/>
    <w:pPr>
      <w:autoSpaceDE w:val="0"/>
      <w:autoSpaceDN w:val="0"/>
      <w:adjustRightInd w:val="0"/>
      <w:spacing w:after="0" w:line="241" w:lineRule="atLeast"/>
    </w:pPr>
    <w:rPr>
      <w:rFonts w:ascii="Optima" w:eastAsia="Times New Roman" w:hAnsi="Optima" w:cs="Times New Roman"/>
      <w:sz w:val="24"/>
      <w:szCs w:val="24"/>
    </w:rPr>
  </w:style>
  <w:style w:type="character" w:customStyle="1" w:styleId="A40">
    <w:name w:val="A4"/>
    <w:uiPriority w:val="99"/>
    <w:rPr>
      <w:rFonts w:cs="Optima"/>
      <w:color w:val="000000"/>
      <w:sz w:val="22"/>
      <w:szCs w:val="22"/>
    </w:rPr>
  </w:style>
  <w:style w:type="paragraph" w:customStyle="1" w:styleId="lead">
    <w:name w:val="lead"/>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
    <w:name w:val="f"/>
    <w:basedOn w:val="DefaultParagraphFont"/>
  </w:style>
  <w:style w:type="character" w:customStyle="1" w:styleId="kx21rb">
    <w:name w:val="kx21rb"/>
    <w:rPr>
      <w:w w:val="100"/>
      <w:position w:val="-1"/>
      <w:vertAlign w:val="baseline"/>
      <w:cs w:val="0"/>
    </w:rPr>
  </w:style>
  <w:style w:type="paragraph" w:customStyle="1" w:styleId="p1a">
    <w:name w:val="p1a"/>
    <w:basedOn w:val="Normal"/>
    <w:next w:val="Normal"/>
    <w:qFormat/>
    <w:pPr>
      <w:overflowPunct w:val="0"/>
      <w:autoSpaceDE w:val="0"/>
      <w:autoSpaceDN w:val="0"/>
      <w:adjustRightInd w:val="0"/>
      <w:spacing w:after="0" w:line="240" w:lineRule="atLeast"/>
      <w:jc w:val="both"/>
      <w:textAlignment w:val="baseline"/>
    </w:pPr>
    <w:rPr>
      <w:rFonts w:ascii="Times" w:eastAsia="SimSun" w:hAnsi="Times" w:cs="Times New Roman"/>
      <w:sz w:val="20"/>
      <w:szCs w:val="20"/>
      <w:lang w:eastAsia="de-DE"/>
    </w:rPr>
  </w:style>
  <w:style w:type="paragraph" w:customStyle="1" w:styleId="heading10">
    <w:name w:val="heading1"/>
    <w:basedOn w:val="Normal"/>
    <w:next w:val="p1a"/>
    <w:qFormat/>
    <w:pPr>
      <w:keepNext/>
      <w:keepLines/>
      <w:tabs>
        <w:tab w:val="left" w:pos="454"/>
      </w:tabs>
      <w:suppressAutoHyphens/>
      <w:overflowPunct w:val="0"/>
      <w:autoSpaceDE w:val="0"/>
      <w:autoSpaceDN w:val="0"/>
      <w:adjustRightInd w:val="0"/>
      <w:spacing w:before="600" w:after="320" w:line="240" w:lineRule="atLeast"/>
      <w:textAlignment w:val="baseline"/>
    </w:pPr>
    <w:rPr>
      <w:rFonts w:ascii="Times" w:eastAsia="SimSun" w:hAnsi="Times" w:cs="Times New Roman"/>
      <w:b/>
      <w:sz w:val="24"/>
      <w:szCs w:val="20"/>
      <w:lang w:eastAsia="de-DE"/>
    </w:rPr>
  </w:style>
  <w:style w:type="paragraph" w:customStyle="1" w:styleId="reference">
    <w:name w:val="reference"/>
    <w:basedOn w:val="Normal"/>
    <w:pPr>
      <w:tabs>
        <w:tab w:val="left" w:pos="340"/>
      </w:tabs>
      <w:overflowPunct w:val="0"/>
      <w:autoSpaceDE w:val="0"/>
      <w:autoSpaceDN w:val="0"/>
      <w:adjustRightInd w:val="0"/>
      <w:spacing w:after="0" w:line="200" w:lineRule="atLeast"/>
      <w:ind w:left="238" w:hanging="238"/>
      <w:jc w:val="both"/>
      <w:textAlignment w:val="baseline"/>
    </w:pPr>
    <w:rPr>
      <w:rFonts w:ascii="Times" w:eastAsia="SimSun" w:hAnsi="Times" w:cs="Times New Roman"/>
      <w:sz w:val="18"/>
      <w:szCs w:val="20"/>
      <w:lang w:eastAsia="de-DE"/>
    </w:rPr>
  </w:style>
  <w:style w:type="paragraph" w:customStyle="1" w:styleId="affiliation">
    <w:name w:val="affiliation"/>
    <w:basedOn w:val="Normal"/>
    <w:next w:val="Normal"/>
    <w:pPr>
      <w:suppressAutoHyphens/>
      <w:overflowPunct w:val="0"/>
      <w:autoSpaceDE w:val="0"/>
      <w:autoSpaceDN w:val="0"/>
      <w:adjustRightInd w:val="0"/>
      <w:spacing w:before="120" w:after="0" w:line="200" w:lineRule="atLeast"/>
      <w:ind w:left="238"/>
      <w:textAlignment w:val="baseline"/>
    </w:pPr>
    <w:rPr>
      <w:rFonts w:ascii="Times" w:eastAsia="SimSun" w:hAnsi="Times" w:cs="Times New Roman"/>
      <w:sz w:val="17"/>
      <w:szCs w:val="20"/>
      <w:lang w:eastAsia="de-DE"/>
    </w:rPr>
  </w:style>
  <w:style w:type="paragraph" w:customStyle="1" w:styleId="abstract0">
    <w:name w:val="abstract"/>
    <w:basedOn w:val="Normal"/>
    <w:next w:val="Normal"/>
    <w:qFormat/>
    <w:pPr>
      <w:overflowPunct w:val="0"/>
      <w:autoSpaceDE w:val="0"/>
      <w:autoSpaceDN w:val="0"/>
      <w:adjustRightInd w:val="0"/>
      <w:spacing w:before="480" w:after="480" w:line="240" w:lineRule="atLeast"/>
      <w:jc w:val="both"/>
      <w:textAlignment w:val="baseline"/>
    </w:pPr>
    <w:rPr>
      <w:rFonts w:ascii="Times" w:eastAsia="SimSun" w:hAnsi="Times" w:cs="Times New Roman"/>
      <w:sz w:val="20"/>
      <w:szCs w:val="20"/>
      <w:lang w:eastAsia="de-DE"/>
    </w:rPr>
  </w:style>
  <w:style w:type="paragraph" w:customStyle="1" w:styleId="Newparagraph">
    <w:name w:val="New paragraph"/>
    <w:basedOn w:val="Normal"/>
    <w:link w:val="NewparagraphChar"/>
    <w:qFormat/>
    <w:pPr>
      <w:spacing w:after="0" w:line="480" w:lineRule="auto"/>
      <w:ind w:firstLine="720"/>
    </w:pPr>
    <w:rPr>
      <w:rFonts w:ascii="Times New Roman" w:eastAsia="Times New Roman" w:hAnsi="Times New Roman" w:cs="Times New Roman"/>
      <w:sz w:val="24"/>
      <w:szCs w:val="24"/>
      <w:lang w:val="en-GB" w:eastAsia="en-GB"/>
    </w:rPr>
  </w:style>
  <w:style w:type="paragraph" w:customStyle="1" w:styleId="0affiliation">
    <w:name w:val="0_affiliation"/>
    <w:basedOn w:val="Normal"/>
    <w:pPr>
      <w:overflowPunct w:val="0"/>
      <w:autoSpaceDE w:val="0"/>
      <w:autoSpaceDN w:val="0"/>
      <w:adjustRightInd w:val="0"/>
      <w:spacing w:after="200" w:line="220" w:lineRule="atLeast"/>
      <w:contextualSpacing/>
      <w:jc w:val="center"/>
      <w:textAlignment w:val="baseline"/>
    </w:pPr>
    <w:rPr>
      <w:rFonts w:ascii="Times New Roman" w:eastAsia="Times New Roman" w:hAnsi="Times New Roman" w:cs="Times New Roman"/>
      <w:sz w:val="18"/>
      <w:szCs w:val="20"/>
      <w:lang w:eastAsia="de-DE"/>
    </w:rPr>
  </w:style>
  <w:style w:type="paragraph" w:customStyle="1" w:styleId="0BodyText">
    <w:name w:val="0_Body Text"/>
    <w:basedOn w:val="Normal"/>
    <w:pPr>
      <w:overflowPunct w:val="0"/>
      <w:autoSpaceDE w:val="0"/>
      <w:autoSpaceDN w:val="0"/>
      <w:adjustRightInd w:val="0"/>
      <w:spacing w:after="0" w:line="240" w:lineRule="atLeast"/>
      <w:ind w:firstLine="227"/>
      <w:jc w:val="both"/>
    </w:pPr>
    <w:rPr>
      <w:rFonts w:ascii="Times New Roman" w:eastAsia="Times New Roman" w:hAnsi="Times New Roman" w:cs="Times New Roman"/>
      <w:sz w:val="20"/>
      <w:szCs w:val="20"/>
      <w:lang w:eastAsia="de-DE"/>
    </w:rPr>
  </w:style>
  <w:style w:type="character" w:customStyle="1" w:styleId="termtext">
    <w:name w:val="termtext"/>
    <w:basedOn w:val="DefaultParagraphFont"/>
  </w:style>
  <w:style w:type="character" w:customStyle="1" w:styleId="selectable">
    <w:name w:val="selectable"/>
    <w:basedOn w:val="DefaultParagraphFont"/>
  </w:style>
  <w:style w:type="character" w:customStyle="1" w:styleId="A30">
    <w:name w:val="A3"/>
    <w:uiPriority w:val="99"/>
    <w:rPr>
      <w:rFonts w:cs="Adobe Caslon Pro"/>
      <w:color w:val="000000"/>
      <w:sz w:val="20"/>
      <w:szCs w:val="20"/>
    </w:rPr>
  </w:style>
  <w:style w:type="character" w:customStyle="1" w:styleId="singlehighlightclass">
    <w:name w:val="single_highlight_class"/>
    <w:basedOn w:val="DefaultParagraphFont"/>
  </w:style>
  <w:style w:type="character" w:customStyle="1" w:styleId="entryauthor">
    <w:name w:val="entryauthor"/>
    <w:basedOn w:val="DefaultParagraphFont"/>
  </w:style>
  <w:style w:type="character" w:customStyle="1" w:styleId="journalname">
    <w:name w:val="journalname"/>
    <w:basedOn w:val="DefaultParagraphFont"/>
  </w:style>
  <w:style w:type="character" w:customStyle="1" w:styleId="volume">
    <w:name w:val="volume"/>
    <w:basedOn w:val="DefaultParagraphFont"/>
  </w:style>
  <w:style w:type="character" w:customStyle="1" w:styleId="textexposedshow">
    <w:name w:val="text_exposed_show"/>
    <w:basedOn w:val="DefaultParagraphFont"/>
  </w:style>
  <w:style w:type="character" w:customStyle="1" w:styleId="BodyTextChar1">
    <w:name w:val="Body Text Char1"/>
    <w:basedOn w:val="DefaultParagraphFont"/>
    <w:uiPriority w:val="99"/>
    <w:rPr>
      <w:rFonts w:ascii="Arial" w:eastAsia="Times New Roman" w:hAnsi="Arial" w:cs="Arial"/>
      <w:sz w:val="22"/>
    </w:rPr>
  </w:style>
  <w:style w:type="character" w:customStyle="1" w:styleId="nw">
    <w:name w:val="nw"/>
    <w:basedOn w:val="DefaultParagraphFont"/>
  </w:style>
  <w:style w:type="paragraph" w:customStyle="1" w:styleId="Pa0">
    <w:name w:val="Pa0"/>
    <w:basedOn w:val="Default"/>
    <w:next w:val="Default"/>
    <w:uiPriority w:val="99"/>
    <w:pPr>
      <w:spacing w:line="241" w:lineRule="atLeast"/>
    </w:pPr>
    <w:rPr>
      <w:rFonts w:ascii="Times New Roman" w:eastAsiaTheme="minorHAnsi" w:hAnsi="Times New Roman" w:cs="Times New Roman"/>
      <w:color w:val="auto"/>
      <w:lang w:val="en-GB"/>
    </w:rPr>
  </w:style>
  <w:style w:type="character" w:customStyle="1" w:styleId="A20">
    <w:name w:val="A2"/>
    <w:rPr>
      <w:b/>
      <w:bCs/>
      <w:color w:val="000000"/>
      <w:sz w:val="18"/>
      <w:szCs w:val="18"/>
    </w:rPr>
  </w:style>
  <w:style w:type="character" w:customStyle="1" w:styleId="A60">
    <w:name w:val="A6"/>
    <w:uiPriority w:val="99"/>
    <w:rPr>
      <w:color w:val="000000"/>
      <w:sz w:val="16"/>
      <w:szCs w:val="16"/>
    </w:rPr>
  </w:style>
  <w:style w:type="character" w:customStyle="1" w:styleId="text">
    <w:name w:val="text"/>
    <w:basedOn w:val="DefaultParagraphFont"/>
  </w:style>
  <w:style w:type="table" w:customStyle="1" w:styleId="TableNormal1">
    <w:name w:val="Table Normal1"/>
    <w:unhideWhenUsed/>
    <w:qFormat/>
    <w:rPr>
      <w:rFonts w:ascii="Calibri" w:eastAsia="Calibri" w:hAnsi="Calibri"/>
      <w:lang w:val="en-MY" w:eastAsia="en-MY"/>
    </w:rPr>
    <w:tblPr>
      <w:tblCellMar>
        <w:top w:w="0" w:type="dxa"/>
        <w:left w:w="0" w:type="dxa"/>
        <w:bottom w:w="0" w:type="dxa"/>
        <w:right w:w="0" w:type="dxa"/>
      </w:tblCellMar>
    </w:tblPr>
  </w:style>
  <w:style w:type="character" w:customStyle="1" w:styleId="al-author-name-more">
    <w:name w:val="al-author-name-more"/>
    <w:basedOn w:val="DefaultParagraphFont"/>
  </w:style>
  <w:style w:type="paragraph" w:customStyle="1" w:styleId="Body">
    <w:name w:val="Body"/>
    <w:link w:val="BodyChar"/>
    <w:qFormat/>
    <w:rPr>
      <w:rFonts w:ascii="Helvetica Neue" w:eastAsia="Arial Unicode MS" w:hAnsi="Helvetica Neue" w:cs="Arial Unicode MS"/>
      <w:color w:val="000000"/>
      <w:sz w:val="22"/>
      <w:szCs w:val="22"/>
      <w:lang w:eastAsia="en-MY"/>
    </w:rPr>
  </w:style>
  <w:style w:type="character" w:customStyle="1" w:styleId="ac">
    <w:name w:val="a"/>
    <w:basedOn w:val="DefaultParagraphFont"/>
  </w:style>
  <w:style w:type="paragraph" w:customStyle="1" w:styleId="CM2">
    <w:name w:val="CM2"/>
    <w:basedOn w:val="Normal"/>
    <w:next w:val="Normal"/>
    <w:pPr>
      <w:widowControl w:val="0"/>
      <w:autoSpaceDE w:val="0"/>
      <w:autoSpaceDN w:val="0"/>
      <w:adjustRightInd w:val="0"/>
      <w:spacing w:after="0" w:line="271" w:lineRule="atLeast"/>
    </w:pPr>
    <w:rPr>
      <w:rFonts w:ascii="Times New Roman" w:eastAsia="SimSun" w:hAnsi="Times New Roman" w:cs="Times New Roman"/>
      <w:sz w:val="24"/>
      <w:szCs w:val="24"/>
      <w:lang w:eastAsia="zh-CN"/>
    </w:rPr>
  </w:style>
  <w:style w:type="character" w:customStyle="1" w:styleId="spellingerror">
    <w:name w:val="spellingerror"/>
  </w:style>
  <w:style w:type="paragraph" w:customStyle="1" w:styleId="HRPUB-Affiliation">
    <w:name w:val="HRPUB-Affiliation"/>
    <w:basedOn w:val="Normal"/>
    <w:pPr>
      <w:widowControl w:val="0"/>
      <w:spacing w:after="0" w:line="200" w:lineRule="exact"/>
      <w:jc w:val="center"/>
    </w:pPr>
    <w:rPr>
      <w:rFonts w:ascii="Times New Roman" w:eastAsia="Times New Roman" w:hAnsi="Times New Roman" w:cs="Times New Roman"/>
      <w:color w:val="000000"/>
      <w:kern w:val="2"/>
      <w:sz w:val="18"/>
      <w:szCs w:val="18"/>
      <w:lang w:eastAsia="zh-CN"/>
    </w:rPr>
  </w:style>
  <w:style w:type="paragraph" w:customStyle="1" w:styleId="keywords0">
    <w:name w:val="keywords"/>
    <w:basedOn w:val="Normal"/>
    <w:autoRedefine/>
    <w:qFormat/>
    <w:pPr>
      <w:tabs>
        <w:tab w:val="right" w:pos="7200"/>
      </w:tabs>
      <w:spacing w:before="120" w:after="0" w:line="240" w:lineRule="auto"/>
      <w:ind w:left="360"/>
      <w:jc w:val="both"/>
    </w:pPr>
    <w:rPr>
      <w:rFonts w:ascii="Times New Roman" w:eastAsia="Times New Roman" w:hAnsi="Times New Roman" w:cs="Times New Roman"/>
      <w:b/>
      <w:snapToGrid w:val="0"/>
    </w:rPr>
  </w:style>
  <w:style w:type="table" w:customStyle="1" w:styleId="ListTable21">
    <w:name w:val="List Table 21"/>
    <w:basedOn w:val="TableNormal"/>
    <w:uiPriority w:val="99"/>
    <w:rPr>
      <w:lang w:val="en-MY"/>
    </w:rPr>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iliation0">
    <w:name w:val="Affiliation"/>
    <w:basedOn w:val="Normal"/>
    <w:next w:val="Normal"/>
    <w:link w:val="AffiliationChar"/>
    <w:qFormat/>
    <w:pPr>
      <w:spacing w:after="0" w:line="240" w:lineRule="auto"/>
      <w:jc w:val="center"/>
    </w:pPr>
    <w:rPr>
      <w:rFonts w:ascii="Times New Roman" w:eastAsia="Times New Roman" w:hAnsi="Times New Roman" w:cs="Times New Roman"/>
      <w:i/>
      <w:sz w:val="19"/>
      <w:szCs w:val="24"/>
      <w:lang w:val="en-GB" w:eastAsia="en-GB"/>
    </w:rPr>
  </w:style>
  <w:style w:type="paragraph" w:customStyle="1" w:styleId="Pragraphbody">
    <w:name w:val="Pragraph body"/>
    <w:basedOn w:val="Normal"/>
    <w:next w:val="Normal"/>
    <w:autoRedefine/>
    <w:pPr>
      <w:spacing w:after="0" w:line="260" w:lineRule="exact"/>
      <w:jc w:val="both"/>
    </w:pPr>
    <w:rPr>
      <w:rFonts w:ascii="Times New Roman" w:eastAsia="Times New Roman" w:hAnsi="Times New Roman" w:cs="Times New Roman"/>
      <w:color w:val="000000" w:themeColor="text1"/>
      <w:spacing w:val="2"/>
      <w:sz w:val="20"/>
      <w:szCs w:val="24"/>
      <w:lang w:val="en" w:eastAsia="en-GB"/>
    </w:rPr>
  </w:style>
  <w:style w:type="character" w:customStyle="1" w:styleId="None">
    <w:name w:val="None"/>
    <w:qFormat/>
  </w:style>
  <w:style w:type="table" w:customStyle="1" w:styleId="GridTable1Light3">
    <w:name w:val="Grid Table 1 Light3"/>
    <w:basedOn w:val="TableNormal"/>
    <w:uiPriority w:val="46"/>
    <w:rPr>
      <w:rFonts w:eastAsiaTheme="minorEastAsia"/>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uthornames">
    <w:name w:val="Author names"/>
    <w:basedOn w:val="Normal"/>
    <w:next w:val="Normal"/>
    <w:qFormat/>
    <w:pPr>
      <w:spacing w:before="240" w:after="0" w:line="360" w:lineRule="auto"/>
    </w:pPr>
    <w:rPr>
      <w:rFonts w:ascii="Times New Roman" w:eastAsia="Times New Roman" w:hAnsi="Times New Roman" w:cs="Times New Roman"/>
      <w:sz w:val="28"/>
      <w:szCs w:val="24"/>
      <w:lang w:val="en-GB" w:eastAsia="en-GB"/>
    </w:rPr>
  </w:style>
  <w:style w:type="paragraph" w:customStyle="1" w:styleId="Correspondencedetails">
    <w:name w:val="Correspondence details"/>
    <w:basedOn w:val="Normal"/>
    <w:pPr>
      <w:spacing w:before="240" w:after="0" w:line="360" w:lineRule="auto"/>
    </w:pPr>
    <w:rPr>
      <w:rFonts w:ascii="Times New Roman" w:eastAsia="Times New Roman" w:hAnsi="Times New Roman" w:cs="Times New Roman"/>
      <w:sz w:val="24"/>
      <w:szCs w:val="24"/>
      <w:lang w:val="en-GB" w:eastAsia="en-GB"/>
    </w:rPr>
  </w:style>
  <w:style w:type="paragraph" w:customStyle="1" w:styleId="Notesoncontributors">
    <w:name w:val="Notes on contributors"/>
    <w:basedOn w:val="Normal"/>
    <w:qFormat/>
    <w:pPr>
      <w:spacing w:before="240" w:after="0" w:line="360" w:lineRule="auto"/>
    </w:pPr>
    <w:rPr>
      <w:rFonts w:ascii="Times New Roman" w:eastAsia="Times New Roman" w:hAnsi="Times New Roman" w:cs="Times New Roman"/>
      <w:szCs w:val="24"/>
      <w:lang w:val="en-GB" w:eastAsia="en-GB"/>
    </w:rPr>
  </w:style>
  <w:style w:type="table" w:customStyle="1" w:styleId="TableGridLight1">
    <w:name w:val="Table Grid Light1"/>
    <w:basedOn w:val="TableNormal"/>
    <w:uiPriority w:val="40"/>
    <w:rPr>
      <w:rFonts w:ascii="Cambria" w:hAnsi="Cambria"/>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aptionforTableUiTM">
    <w:name w:val="Caption for Table UiTM"/>
    <w:basedOn w:val="Caption"/>
    <w:next w:val="Normal"/>
    <w:link w:val="CaptionforTableUiTMChar"/>
    <w:autoRedefine/>
    <w:uiPriority w:val="10"/>
    <w:pPr>
      <w:keepLines/>
      <w:widowControl w:val="0"/>
      <w:spacing w:beforeLines="100" w:after="0" w:line="240" w:lineRule="auto"/>
    </w:pPr>
    <w:rPr>
      <w:rFonts w:eastAsiaTheme="minorHAnsi"/>
      <w:b w:val="0"/>
      <w:sz w:val="24"/>
      <w:szCs w:val="18"/>
      <w:lang w:val="en-GB"/>
    </w:rPr>
  </w:style>
  <w:style w:type="paragraph" w:customStyle="1" w:styleId="NormalUiTMParagraph1">
    <w:name w:val="Normal UiTM Paragraph 1"/>
    <w:basedOn w:val="Normal"/>
    <w:link w:val="NormalUiTMParagraph1Char"/>
    <w:autoRedefine/>
    <w:uiPriority w:val="9"/>
    <w:qFormat/>
    <w:pPr>
      <w:widowControl w:val="0"/>
      <w:spacing w:after="0" w:line="240" w:lineRule="auto"/>
      <w:ind w:right="30"/>
      <w:jc w:val="both"/>
    </w:pPr>
    <w:rPr>
      <w:rFonts w:ascii="Calibri" w:hAnsi="Calibri" w:cs="Calibri"/>
      <w:bCs/>
      <w:i/>
      <w:iCs/>
      <w:sz w:val="24"/>
      <w:szCs w:val="24"/>
      <w:lang w:val="en-GB"/>
    </w:rPr>
  </w:style>
  <w:style w:type="paragraph" w:customStyle="1" w:styleId="Tabletext6source">
    <w:name w:val="Table text 6 source"/>
    <w:basedOn w:val="Normal"/>
    <w:autoRedefine/>
    <w:uiPriority w:val="13"/>
    <w:pPr>
      <w:widowControl w:val="0"/>
      <w:spacing w:after="240" w:line="240" w:lineRule="auto"/>
    </w:pPr>
    <w:rPr>
      <w:rFonts w:ascii="Times New Roman" w:eastAsiaTheme="minorEastAsia" w:hAnsi="Times New Roman" w:cs="Times New Roman"/>
      <w:sz w:val="18"/>
      <w:szCs w:val="24"/>
      <w:lang w:val="en-GB"/>
    </w:rPr>
  </w:style>
  <w:style w:type="character" w:customStyle="1" w:styleId="NormalUiTMParagraph1Char">
    <w:name w:val="Normal UiTM Paragraph 1 Char"/>
    <w:basedOn w:val="DefaultParagraphFont"/>
    <w:link w:val="NormalUiTMParagraph1"/>
    <w:uiPriority w:val="9"/>
    <w:rPr>
      <w:rFonts w:ascii="Calibri" w:hAnsi="Calibri" w:cs="Calibri"/>
      <w:bCs/>
      <w:i/>
      <w:iCs/>
      <w:sz w:val="24"/>
      <w:szCs w:val="24"/>
      <w:lang w:val="en-GB"/>
    </w:rPr>
  </w:style>
  <w:style w:type="character" w:customStyle="1" w:styleId="CaptionforTableUiTMChar">
    <w:name w:val="Caption for Table UiTM Char"/>
    <w:basedOn w:val="DefaultParagraphFont"/>
    <w:link w:val="CaptionforTableUiTM"/>
    <w:uiPriority w:val="10"/>
    <w:rPr>
      <w:rFonts w:ascii="Times New Roman" w:hAnsi="Times New Roman" w:cs="Times New Roman"/>
      <w:bCs/>
      <w:sz w:val="24"/>
      <w:szCs w:val="18"/>
      <w:lang w:val="en-GB"/>
    </w:rPr>
  </w:style>
  <w:style w:type="paragraph" w:customStyle="1" w:styleId="Tabletexttile12font">
    <w:name w:val="Table text tile 12font"/>
    <w:basedOn w:val="Normal"/>
    <w:autoRedefine/>
    <w:uiPriority w:val="9"/>
    <w:pPr>
      <w:spacing w:after="0" w:line="240" w:lineRule="auto"/>
      <w:ind w:left="-136"/>
      <w:jc w:val="center"/>
    </w:pPr>
    <w:rPr>
      <w:rFonts w:ascii="Times New Roman" w:eastAsiaTheme="minorEastAsia" w:hAnsi="Times New Roman" w:cs="Times New Roman"/>
      <w:sz w:val="24"/>
      <w:szCs w:val="24"/>
      <w:lang w:val="en-MY"/>
    </w:rPr>
  </w:style>
  <w:style w:type="paragraph" w:customStyle="1" w:styleId="Tabletext5centre">
    <w:name w:val="Table text 5 centre"/>
    <w:autoRedefine/>
    <w:uiPriority w:val="13"/>
    <w:pPr>
      <w:ind w:left="-136"/>
      <w:jc w:val="center"/>
    </w:pPr>
    <w:rPr>
      <w:rFonts w:eastAsiaTheme="minorEastAsia"/>
      <w:b/>
      <w:szCs w:val="24"/>
      <w:lang w:val="en-MY"/>
    </w:rPr>
  </w:style>
  <w:style w:type="table" w:customStyle="1" w:styleId="PlainTable214">
    <w:name w:val="Plain Table 214"/>
    <w:basedOn w:val="TableNormal"/>
    <w:uiPriority w:val="42"/>
    <w:rPr>
      <w:lang w:val="en-GB" w:eastAsia="en-GB"/>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querysrchtext">
    <w:name w:val="querysrchtext"/>
    <w:basedOn w:val="DefaultParagraphFont"/>
  </w:style>
  <w:style w:type="character" w:customStyle="1" w:styleId="queryoperator">
    <w:name w:val="queryoperator"/>
    <w:basedOn w:val="DefaultParagraphFont"/>
  </w:style>
  <w:style w:type="character" w:customStyle="1" w:styleId="anchortext">
    <w:name w:val="anchortext"/>
    <w:basedOn w:val="DefaultParagraphFont"/>
  </w:style>
  <w:style w:type="paragraph" w:customStyle="1" w:styleId="nova-e-listitem">
    <w:name w:val="nova-e-list__item"/>
    <w:basedOn w:val="Normal"/>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Single">
    <w:name w:val="Single"/>
    <w:basedOn w:val="Normal"/>
    <w:autoRedefine/>
    <w:qFormat/>
    <w:pPr>
      <w:spacing w:after="0" w:line="240" w:lineRule="auto"/>
      <w:jc w:val="both"/>
    </w:pPr>
    <w:rPr>
      <w:rFonts w:ascii="Calibri" w:eastAsia="Calibri" w:hAnsi="Calibri" w:cs="Calibri"/>
      <w:sz w:val="24"/>
      <w:szCs w:val="24"/>
      <w:lang w:val="en-GB" w:bidi="en-US"/>
    </w:rPr>
  </w:style>
  <w:style w:type="paragraph" w:customStyle="1" w:styleId="Style8">
    <w:name w:val="_Style 8"/>
    <w:basedOn w:val="Normal"/>
    <w:next w:val="Normal"/>
    <w:pPr>
      <w:pBdr>
        <w:bottom w:val="single" w:sz="6" w:space="1" w:color="auto"/>
      </w:pBdr>
      <w:spacing w:after="200" w:line="276" w:lineRule="auto"/>
      <w:jc w:val="center"/>
    </w:pPr>
    <w:rPr>
      <w:rFonts w:ascii="Arial" w:eastAsia="SimSun"/>
      <w:vanish/>
      <w:sz w:val="16"/>
      <w:szCs w:val="20"/>
      <w:lang w:eastAsia="zh-CN"/>
    </w:rPr>
  </w:style>
  <w:style w:type="paragraph" w:customStyle="1" w:styleId="Style9">
    <w:name w:val="_Style 9"/>
    <w:basedOn w:val="Normal"/>
    <w:next w:val="Normal"/>
    <w:pPr>
      <w:pBdr>
        <w:top w:val="single" w:sz="6" w:space="1" w:color="auto"/>
      </w:pBdr>
      <w:spacing w:after="200" w:line="276" w:lineRule="auto"/>
      <w:jc w:val="center"/>
    </w:pPr>
    <w:rPr>
      <w:rFonts w:ascii="Arial" w:eastAsia="SimSun"/>
      <w:vanish/>
      <w:sz w:val="16"/>
      <w:szCs w:val="20"/>
      <w:lang w:eastAsia="zh-CN"/>
    </w:rPr>
  </w:style>
  <w:style w:type="paragraph" w:customStyle="1" w:styleId="address">
    <w:name w:val="address"/>
    <w:basedOn w:val="Normal"/>
    <w:pPr>
      <w:overflowPunct w:val="0"/>
      <w:autoSpaceDE w:val="0"/>
      <w:autoSpaceDN w:val="0"/>
      <w:adjustRightInd w:val="0"/>
      <w:spacing w:after="200" w:line="220" w:lineRule="atLeast"/>
      <w:contextualSpacing/>
      <w:jc w:val="center"/>
      <w:textAlignment w:val="baseline"/>
    </w:pPr>
    <w:rPr>
      <w:rFonts w:eastAsiaTheme="minorEastAsia"/>
      <w:sz w:val="18"/>
      <w:szCs w:val="20"/>
      <w:lang w:eastAsia="zh-CN"/>
    </w:rPr>
  </w:style>
  <w:style w:type="paragraph" w:customStyle="1" w:styleId="Numberedlist">
    <w:name w:val="Numbered list"/>
    <w:basedOn w:val="Paragraph0"/>
    <w:next w:val="Paragraph0"/>
    <w:qFormat/>
    <w:pPr>
      <w:numPr>
        <w:numId w:val="8"/>
      </w:numPr>
      <w:spacing w:before="240" w:after="240" w:line="480" w:lineRule="auto"/>
      <w:contextualSpacing/>
    </w:pPr>
    <w:rPr>
      <w:rFonts w:eastAsia="Times New Roman"/>
      <w:szCs w:val="24"/>
      <w:lang w:val="en-GB" w:eastAsia="en-GB"/>
    </w:rPr>
  </w:style>
  <w:style w:type="paragraph" w:customStyle="1" w:styleId="Tabletitle">
    <w:name w:val="Table title"/>
    <w:basedOn w:val="Normal"/>
    <w:next w:val="Normal"/>
    <w:pPr>
      <w:spacing w:before="240" w:after="0" w:line="360" w:lineRule="auto"/>
    </w:pPr>
    <w:rPr>
      <w:rFonts w:ascii="Times New Roman" w:eastAsia="Times New Roman" w:hAnsi="Times New Roman" w:cs="Times New Roman"/>
      <w:sz w:val="24"/>
      <w:szCs w:val="24"/>
      <w:lang w:val="en-GB" w:eastAsia="en-GB"/>
    </w:rPr>
  </w:style>
  <w:style w:type="paragraph" w:customStyle="1" w:styleId="Bulletedlist">
    <w:name w:val="Bulleted list"/>
    <w:basedOn w:val="Paragraph0"/>
    <w:next w:val="Paragraph0"/>
    <w:qFormat/>
    <w:pPr>
      <w:numPr>
        <w:numId w:val="9"/>
      </w:numPr>
      <w:spacing w:before="240" w:after="240" w:line="480" w:lineRule="auto"/>
      <w:contextualSpacing/>
    </w:pPr>
    <w:rPr>
      <w:rFonts w:eastAsia="Times New Roman"/>
      <w:szCs w:val="24"/>
      <w:lang w:val="en-GB" w:eastAsia="en-GB"/>
    </w:rPr>
  </w:style>
  <w:style w:type="table" w:customStyle="1" w:styleId="GridTable5Dark-Accent11">
    <w:name w:val="Grid Table 5 Dark - Accent 11"/>
    <w:basedOn w:val="TableNormal"/>
    <w:uiPriority w:val="50"/>
    <w:rPr>
      <w:rFonts w:ascii="Calibri" w:hAnsi="Calibri"/>
      <w:kern w:val="2"/>
      <w:sz w:val="24"/>
      <w:szCs w:val="24"/>
      <w:lang w:eastAsia="zh-C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2-Accent11">
    <w:name w:val="List Table 2 - Accent 11"/>
    <w:basedOn w:val="TableNormal"/>
    <w:uiPriority w:val="99"/>
    <w:rPr>
      <w:lang w:val="en-IN" w:eastAsia="en-IN" w:bidi="te-IN"/>
    </w:rPr>
    <w:tblPr>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Accent51">
    <w:name w:val="List Table 2 - Accent 51"/>
    <w:basedOn w:val="TableNormal"/>
    <w:uiPriority w:val="99"/>
    <w:rPr>
      <w:lang w:val="en-IN" w:eastAsia="en-IN" w:bidi="te-IN"/>
    </w:rPr>
    <w:tblPr>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StyleBodyText75ptChar">
    <w:name w:val="Style Body Text + 7.5 pt Char"/>
    <w:rPr>
      <w:rFonts w:ascii="Arial" w:hAnsi="Arial" w:cs="Arial" w:hint="default"/>
      <w:sz w:val="15"/>
      <w:lang w:val="id-ID" w:eastAsia="en-US" w:bidi="ar-SA"/>
    </w:rPr>
  </w:style>
  <w:style w:type="paragraph" w:customStyle="1" w:styleId="Bibliography10">
    <w:name w:val="Bibliography1"/>
    <w:basedOn w:val="Normal"/>
    <w:uiPriority w:val="37"/>
    <w:qFormat/>
    <w:pPr>
      <w:spacing w:after="0" w:line="240" w:lineRule="auto"/>
    </w:pPr>
    <w:rPr>
      <w:rFonts w:ascii="Arial" w:eastAsia="Times New Roman" w:hAnsi="Arial" w:cs="Times New Roman"/>
      <w:sz w:val="24"/>
      <w:szCs w:val="20"/>
      <w:lang w:val="en-GB" w:eastAsia="fi-FI"/>
    </w:rPr>
  </w:style>
  <w:style w:type="character" w:customStyle="1" w:styleId="l6">
    <w:name w:val="l6"/>
    <w:basedOn w:val="DefaultParagraphFont"/>
  </w:style>
  <w:style w:type="character" w:customStyle="1" w:styleId="entry-author-name">
    <w:name w:val="entry-author-name"/>
    <w:basedOn w:val="DefaultParagraphFont"/>
  </w:style>
  <w:style w:type="character" w:customStyle="1" w:styleId="mw-cite-backlink">
    <w:name w:val="mw-cite-backlink"/>
    <w:basedOn w:val="DefaultParagraphFont"/>
  </w:style>
  <w:style w:type="character" w:customStyle="1" w:styleId="cite-accessibility-label">
    <w:name w:val="cite-accessibility-label"/>
    <w:basedOn w:val="DefaultParagraphFont"/>
  </w:style>
  <w:style w:type="paragraph" w:customStyle="1" w:styleId="para">
    <w:name w:val="para"/>
    <w:basedOn w:val="Normal"/>
    <w:pPr>
      <w:spacing w:before="100" w:beforeAutospacing="1" w:after="100" w:afterAutospacing="1" w:line="240" w:lineRule="auto"/>
    </w:pPr>
    <w:rPr>
      <w:rFonts w:ascii="Angsana New" w:eastAsia="Times New Roman" w:hAnsi="Angsana New" w:cs="Angsana New"/>
      <w:sz w:val="28"/>
      <w:szCs w:val="28"/>
      <w:lang w:bidi="th-TH"/>
    </w:rPr>
  </w:style>
  <w:style w:type="character" w:customStyle="1" w:styleId="marginterm">
    <w:name w:val="margin_term"/>
    <w:basedOn w:val="DefaultParagraphFont"/>
  </w:style>
  <w:style w:type="paragraph" w:customStyle="1" w:styleId="Fontfront">
    <w:name w:val="Font_front"/>
    <w:basedOn w:val="Normal"/>
    <w:uiPriority w:val="99"/>
    <w:pPr>
      <w:spacing w:after="0" w:line="240" w:lineRule="auto"/>
      <w:jc w:val="center"/>
    </w:pPr>
    <w:rPr>
      <w:rFonts w:ascii="Angsana New" w:eastAsia="Angsana New" w:hAnsi="Angsana New" w:cs="Angsana New"/>
      <w:b/>
      <w:bCs/>
      <w:sz w:val="40"/>
      <w:szCs w:val="40"/>
      <w:lang w:bidi="th-TH"/>
    </w:rPr>
  </w:style>
  <w:style w:type="character" w:customStyle="1" w:styleId="fn">
    <w:name w:val="fn"/>
    <w:basedOn w:val="DefaultParagraphFont"/>
  </w:style>
  <w:style w:type="character" w:customStyle="1" w:styleId="Subtitle2">
    <w:name w:val="Subtitle2"/>
    <w:basedOn w:val="DefaultParagraphFont"/>
  </w:style>
  <w:style w:type="character" w:customStyle="1" w:styleId="mobile-label">
    <w:name w:val="mobile-label"/>
    <w:basedOn w:val="DefaultParagraphFont"/>
  </w:style>
  <w:style w:type="character" w:customStyle="1" w:styleId="y2iqfc">
    <w:name w:val="y2iqfc"/>
    <w:basedOn w:val="DefaultParagraphFont"/>
  </w:style>
  <w:style w:type="table" w:customStyle="1" w:styleId="GridTable4-Accent31">
    <w:name w:val="Grid Table 4 - Accent 31"/>
    <w:basedOn w:val="TableNormal"/>
    <w:uiPriority w:val="59"/>
    <w:rPr>
      <w:lang w:val="en-MY"/>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jlqj4b">
    <w:name w:val="jlqj4b"/>
    <w:basedOn w:val="DefaultParagraphFont"/>
  </w:style>
  <w:style w:type="character" w:customStyle="1" w:styleId="viiyi">
    <w:name w:val="viiyi"/>
    <w:basedOn w:val="DefaultParagraphFont"/>
  </w:style>
  <w:style w:type="character" w:customStyle="1" w:styleId="fontstyle31">
    <w:name w:val="fontstyle31"/>
    <w:basedOn w:val="DefaultParagraphFont"/>
    <w:rPr>
      <w:rFonts w:ascii="Times New Roman" w:hAnsi="Times New Roman" w:cs="Times New Roman" w:hint="default"/>
      <w:b/>
      <w:bCs/>
      <w:color w:val="000000"/>
      <w:sz w:val="22"/>
      <w:szCs w:val="22"/>
    </w:rPr>
  </w:style>
  <w:style w:type="character" w:customStyle="1" w:styleId="ayaasheader">
    <w:name w:val="ayaasheader"/>
    <w:basedOn w:val="DefaultParagraphFont"/>
  </w:style>
  <w:style w:type="character" w:customStyle="1" w:styleId="fontstyle41">
    <w:name w:val="fontstyle41"/>
    <w:basedOn w:val="DefaultParagraphFont"/>
    <w:rPr>
      <w:rFonts w:ascii="AdvOT4ac4c61e+20" w:hAnsi="AdvOT4ac4c61e+20" w:hint="default"/>
      <w:color w:val="242021"/>
      <w:sz w:val="20"/>
      <w:szCs w:val="20"/>
    </w:rPr>
  </w:style>
  <w:style w:type="character" w:customStyle="1" w:styleId="fontstyle11">
    <w:name w:val="fontstyle11"/>
    <w:basedOn w:val="DefaultParagraphFont"/>
    <w:rPr>
      <w:rFonts w:ascii="TimesNewRomanPS-ItalicMT" w:hAnsi="TimesNewRomanPS-ItalicMT" w:hint="default"/>
      <w:i/>
      <w:iCs/>
      <w:color w:val="000000"/>
      <w:sz w:val="20"/>
      <w:szCs w:val="20"/>
    </w:rPr>
  </w:style>
  <w:style w:type="character" w:customStyle="1" w:styleId="maroon">
    <w:name w:val="maroon"/>
    <w:basedOn w:val="DefaultParagraphFont"/>
  </w:style>
  <w:style w:type="paragraph" w:customStyle="1" w:styleId="Author0">
    <w:name w:val="Author"/>
    <w:basedOn w:val="Normal"/>
    <w:link w:val="AuthorChar"/>
    <w:qFormat/>
    <w:pPr>
      <w:spacing w:after="0" w:line="240" w:lineRule="auto"/>
      <w:jc w:val="both"/>
    </w:pPr>
    <w:rPr>
      <w:rFonts w:ascii="PT Serif" w:eastAsia="Times New Roman" w:hAnsi="PT Serif" w:cs="Times New Roman"/>
      <w:b/>
      <w:bCs/>
      <w:color w:val="000000"/>
      <w:sz w:val="24"/>
      <w:szCs w:val="30"/>
      <w:lang w:val="en-GB"/>
    </w:rPr>
  </w:style>
  <w:style w:type="character" w:customStyle="1" w:styleId="AuthorChar">
    <w:name w:val="Author Char"/>
    <w:link w:val="Author0"/>
    <w:rPr>
      <w:rFonts w:ascii="PT Serif" w:eastAsia="Times New Roman" w:hAnsi="PT Serif" w:cs="Times New Roman"/>
      <w:b/>
      <w:bCs/>
      <w:color w:val="000000"/>
      <w:sz w:val="24"/>
      <w:szCs w:val="30"/>
      <w:lang w:val="en-GB"/>
    </w:rPr>
  </w:style>
  <w:style w:type="character" w:customStyle="1" w:styleId="AffiliationChar">
    <w:name w:val="Affiliation Char"/>
    <w:link w:val="Affiliation0"/>
    <w:rPr>
      <w:rFonts w:ascii="Times New Roman" w:eastAsia="Times New Roman" w:hAnsi="Times New Roman" w:cs="Times New Roman"/>
      <w:i/>
      <w:sz w:val="19"/>
      <w:szCs w:val="24"/>
      <w:lang w:val="en-GB" w:eastAsia="en-GB"/>
    </w:rPr>
  </w:style>
  <w:style w:type="paragraph" w:customStyle="1" w:styleId="Cite">
    <w:name w:val="Cite"/>
    <w:basedOn w:val="Normal"/>
    <w:link w:val="CiteChar"/>
    <w:pPr>
      <w:spacing w:after="0" w:line="216" w:lineRule="auto"/>
      <w:ind w:left="720" w:hanging="720"/>
      <w:jc w:val="both"/>
    </w:pPr>
    <w:rPr>
      <w:rFonts w:ascii="PT Serif" w:eastAsia="Times New Roman" w:hAnsi="PT Serif" w:cs="Times New Roman"/>
      <w:szCs w:val="16"/>
    </w:rPr>
  </w:style>
  <w:style w:type="character" w:customStyle="1" w:styleId="CiteChar">
    <w:name w:val="Cite Char"/>
    <w:link w:val="Cite"/>
    <w:rPr>
      <w:rFonts w:ascii="PT Serif" w:eastAsia="Times New Roman" w:hAnsi="PT Serif" w:cs="Times New Roman"/>
      <w:szCs w:val="16"/>
    </w:rPr>
  </w:style>
  <w:style w:type="paragraph" w:customStyle="1" w:styleId="Text0">
    <w:name w:val="Text"/>
    <w:basedOn w:val="Normal"/>
    <w:link w:val="TextChar"/>
    <w:pPr>
      <w:spacing w:after="0" w:line="240" w:lineRule="auto"/>
      <w:jc w:val="both"/>
    </w:pPr>
    <w:rPr>
      <w:rFonts w:ascii="PT Serif" w:eastAsia="Times New Roman" w:hAnsi="PT Serif" w:cs="Times New Roman"/>
      <w:sz w:val="20"/>
      <w:szCs w:val="20"/>
    </w:rPr>
  </w:style>
  <w:style w:type="character" w:customStyle="1" w:styleId="TextChar">
    <w:name w:val="Text Char"/>
    <w:link w:val="Text0"/>
    <w:rPr>
      <w:rFonts w:ascii="PT Serif" w:eastAsia="Times New Roman" w:hAnsi="PT Serif" w:cs="Times New Roman"/>
      <w:sz w:val="20"/>
      <w:szCs w:val="20"/>
    </w:rPr>
  </w:style>
  <w:style w:type="character" w:customStyle="1" w:styleId="DefaultChar">
    <w:name w:val="Default Char"/>
    <w:link w:val="Default"/>
    <w:rPr>
      <w:rFonts w:ascii="Arial" w:eastAsia="Calibri" w:hAnsi="Arial" w:cs="Arial"/>
      <w:color w:val="000000"/>
      <w:sz w:val="24"/>
      <w:szCs w:val="24"/>
    </w:rPr>
  </w:style>
  <w:style w:type="paragraph" w:customStyle="1" w:styleId="Normal12">
    <w:name w:val="Normal12"/>
    <w:basedOn w:val="Normal11"/>
    <w:link w:val="Normal12Char"/>
    <w:autoRedefine/>
  </w:style>
  <w:style w:type="paragraph" w:customStyle="1" w:styleId="Normal11">
    <w:name w:val="Normal11"/>
    <w:basedOn w:val="Default"/>
    <w:link w:val="Normal11Char1"/>
    <w:pPr>
      <w:widowControl w:val="0"/>
      <w:spacing w:line="176" w:lineRule="atLeast"/>
      <w:jc w:val="both"/>
    </w:pPr>
    <w:rPr>
      <w:rFonts w:ascii="Times New Roman" w:eastAsia="Times New Roman" w:hAnsi="Times New Roman" w:cs="Times New Roman"/>
      <w:sz w:val="18"/>
      <w:szCs w:val="18"/>
      <w:lang w:bidi="th-TH"/>
    </w:rPr>
  </w:style>
  <w:style w:type="character" w:customStyle="1" w:styleId="Normal12Char">
    <w:name w:val="Normal12 Char"/>
    <w:link w:val="Normal12"/>
    <w:rPr>
      <w:rFonts w:ascii="Times New Roman" w:eastAsia="Times New Roman" w:hAnsi="Times New Roman" w:cs="Times New Roman"/>
      <w:color w:val="000000"/>
      <w:sz w:val="18"/>
      <w:szCs w:val="18"/>
      <w:lang w:bidi="th-TH"/>
    </w:rPr>
  </w:style>
  <w:style w:type="paragraph" w:customStyle="1" w:styleId="Page">
    <w:name w:val="Page"/>
    <w:basedOn w:val="Heading3"/>
    <w:link w:val="PageChar"/>
    <w:uiPriority w:val="4"/>
    <w:qFormat/>
    <w:pPr>
      <w:keepNext/>
      <w:spacing w:before="0" w:line="300" w:lineRule="auto"/>
      <w:jc w:val="right"/>
    </w:pPr>
    <w:rPr>
      <w:rFonts w:ascii="PT Serif" w:hAnsi="PT Serif" w:cs="Times New Roman"/>
      <w:bCs w:val="0"/>
      <w:i w:val="0"/>
      <w:iCs w:val="0"/>
      <w:color w:val="339933"/>
      <w:szCs w:val="20"/>
      <w:lang w:bidi="ar-SA"/>
    </w:rPr>
  </w:style>
  <w:style w:type="character" w:customStyle="1" w:styleId="PageChar">
    <w:name w:val="Page Char"/>
    <w:link w:val="Page"/>
    <w:rPr>
      <w:rFonts w:ascii="PT Serif" w:eastAsia="Times New Roman" w:hAnsi="PT Serif" w:cs="Times New Roman"/>
      <w:b/>
      <w:color w:val="339933"/>
      <w:sz w:val="26"/>
      <w:szCs w:val="20"/>
    </w:rPr>
  </w:style>
  <w:style w:type="paragraph" w:customStyle="1" w:styleId="Reference0">
    <w:name w:val="Reference"/>
    <w:basedOn w:val="Normal"/>
    <w:link w:val="ReferenceChar"/>
    <w:qFormat/>
    <w:pPr>
      <w:widowControl w:val="0"/>
      <w:autoSpaceDE w:val="0"/>
      <w:autoSpaceDN w:val="0"/>
      <w:adjustRightInd w:val="0"/>
      <w:spacing w:after="240" w:line="240" w:lineRule="auto"/>
      <w:ind w:left="720" w:hanging="720"/>
      <w:jc w:val="both"/>
    </w:pPr>
    <w:rPr>
      <w:rFonts w:ascii="Times New Roman" w:eastAsia="Times New Roman" w:hAnsi="Times New Roman" w:cs="Times New Roman"/>
      <w:color w:val="000000"/>
      <w:sz w:val="24"/>
      <w:szCs w:val="24"/>
      <w:lang w:bidi="th-TH"/>
    </w:rPr>
  </w:style>
  <w:style w:type="character" w:customStyle="1" w:styleId="ReferenceChar">
    <w:name w:val="Reference Char"/>
    <w:link w:val="Reference0"/>
    <w:rPr>
      <w:rFonts w:ascii="Times New Roman" w:eastAsia="Times New Roman" w:hAnsi="Times New Roman" w:cs="Times New Roman"/>
      <w:color w:val="000000"/>
      <w:sz w:val="24"/>
      <w:szCs w:val="24"/>
      <w:lang w:bidi="th-TH"/>
    </w:rPr>
  </w:style>
  <w:style w:type="character" w:customStyle="1" w:styleId="Normal11Char1">
    <w:name w:val="Normal11 Char1"/>
    <w:link w:val="Normal11"/>
    <w:rPr>
      <w:rFonts w:ascii="Times New Roman" w:eastAsia="Times New Roman" w:hAnsi="Times New Roman" w:cs="Times New Roman"/>
      <w:color w:val="000000"/>
      <w:sz w:val="18"/>
      <w:szCs w:val="18"/>
      <w:lang w:bidi="th-TH"/>
    </w:rPr>
  </w:style>
  <w:style w:type="paragraph" w:customStyle="1" w:styleId="FigureandTable">
    <w:name w:val="Figure and Table"/>
    <w:basedOn w:val="Normal"/>
    <w:link w:val="FigureandTableChar"/>
    <w:pPr>
      <w:widowControl w:val="0"/>
      <w:autoSpaceDE w:val="0"/>
      <w:autoSpaceDN w:val="0"/>
      <w:adjustRightInd w:val="0"/>
      <w:spacing w:after="0" w:line="240" w:lineRule="auto"/>
      <w:jc w:val="center"/>
    </w:pPr>
    <w:rPr>
      <w:rFonts w:ascii="Times New Roman" w:eastAsia="Times New Roman" w:hAnsi="Times New Roman" w:cs="Times New Roman"/>
      <w:color w:val="0000FF"/>
      <w:sz w:val="24"/>
      <w:szCs w:val="24"/>
      <w:lang w:bidi="th-TH"/>
    </w:rPr>
  </w:style>
  <w:style w:type="character" w:customStyle="1" w:styleId="FigureandTableChar">
    <w:name w:val="Figure and Table Char"/>
    <w:link w:val="FigureandTable"/>
    <w:rPr>
      <w:rFonts w:ascii="Times New Roman" w:eastAsia="Times New Roman" w:hAnsi="Times New Roman" w:cs="Times New Roman"/>
      <w:color w:val="0000FF"/>
      <w:sz w:val="24"/>
      <w:szCs w:val="24"/>
      <w:lang w:bidi="th-TH"/>
    </w:rPr>
  </w:style>
  <w:style w:type="paragraph" w:customStyle="1" w:styleId="Table2">
    <w:name w:val="Table2"/>
    <w:basedOn w:val="FigureandTable"/>
    <w:link w:val="Table2Char"/>
    <w:rPr>
      <w:rFonts w:cs="Angsana New"/>
      <w:sz w:val="20"/>
      <w:szCs w:val="20"/>
    </w:rPr>
  </w:style>
  <w:style w:type="character" w:customStyle="1" w:styleId="Table2Char">
    <w:name w:val="Table2 Char"/>
    <w:link w:val="Table2"/>
    <w:rPr>
      <w:rFonts w:ascii="Times New Roman" w:eastAsia="Times New Roman" w:hAnsi="Times New Roman" w:cs="Angsana New"/>
      <w:color w:val="0000FF"/>
      <w:sz w:val="20"/>
      <w:szCs w:val="20"/>
      <w:lang w:bidi="th-TH"/>
    </w:rPr>
  </w:style>
  <w:style w:type="paragraph" w:customStyle="1" w:styleId="Reference2">
    <w:name w:val="Reference2"/>
    <w:basedOn w:val="Normal"/>
    <w:pPr>
      <w:spacing w:line="240" w:lineRule="auto"/>
      <w:ind w:left="720" w:hanging="720"/>
      <w:jc w:val="both"/>
    </w:pPr>
    <w:rPr>
      <w:rFonts w:ascii="Times New Roman" w:eastAsia="Times New Roman" w:hAnsi="Times New Roman" w:cs="Times New Roman"/>
      <w:color w:val="000000"/>
      <w:sz w:val="23"/>
      <w:lang w:bidi="th-TH"/>
    </w:rPr>
  </w:style>
  <w:style w:type="character" w:customStyle="1" w:styleId="BodyChar">
    <w:name w:val="Body Char"/>
    <w:link w:val="Body"/>
    <w:rPr>
      <w:rFonts w:ascii="Helvetica Neue" w:eastAsia="Arial Unicode MS" w:hAnsi="Helvetica Neue" w:cs="Arial Unicode MS"/>
      <w:color w:val="000000"/>
      <w:lang w:eastAsia="en-MY"/>
    </w:rPr>
  </w:style>
  <w:style w:type="paragraph" w:customStyle="1" w:styleId="EQ">
    <w:name w:val="EQ"/>
    <w:basedOn w:val="Normal"/>
    <w:link w:val="EQChar"/>
    <w:pPr>
      <w:tabs>
        <w:tab w:val="left" w:pos="9923"/>
      </w:tabs>
      <w:spacing w:before="120" w:after="120" w:line="300" w:lineRule="auto"/>
      <w:ind w:left="1701"/>
      <w:jc w:val="both"/>
    </w:pPr>
    <w:rPr>
      <w:rFonts w:ascii="PT Serif" w:eastAsia="Times New Roman" w:hAnsi="PT Serif" w:cs="Times New Roman"/>
      <w:sz w:val="24"/>
      <w:szCs w:val="20"/>
    </w:rPr>
  </w:style>
  <w:style w:type="character" w:customStyle="1" w:styleId="EQChar">
    <w:name w:val="EQ Char"/>
    <w:link w:val="EQ"/>
    <w:rPr>
      <w:rFonts w:ascii="PT Serif" w:eastAsia="Times New Roman" w:hAnsi="PT Serif" w:cs="Times New Roman"/>
      <w:sz w:val="24"/>
      <w:szCs w:val="20"/>
    </w:rPr>
  </w:style>
  <w:style w:type="paragraph" w:customStyle="1" w:styleId="AuthorsPhoto">
    <w:name w:val="AuthorsPhoto"/>
    <w:basedOn w:val="Normal"/>
    <w:link w:val="AuthorsPhotoChar"/>
    <w:pPr>
      <w:widowControl w:val="0"/>
      <w:autoSpaceDE w:val="0"/>
      <w:autoSpaceDN w:val="0"/>
      <w:adjustRightInd w:val="0"/>
      <w:spacing w:after="180" w:line="240" w:lineRule="auto"/>
      <w:jc w:val="center"/>
    </w:pPr>
    <w:rPr>
      <w:rFonts w:ascii="Times New Roman" w:eastAsia="Times New Roman" w:hAnsi="Times New Roman" w:cs="Angsana New"/>
      <w:color w:val="000000"/>
      <w:sz w:val="24"/>
      <w:szCs w:val="24"/>
      <w:lang w:bidi="th-TH"/>
    </w:rPr>
  </w:style>
  <w:style w:type="character" w:customStyle="1" w:styleId="AuthorsPhotoChar">
    <w:name w:val="AuthorsPhoto Char"/>
    <w:link w:val="AuthorsPhoto"/>
    <w:rPr>
      <w:rFonts w:ascii="Times New Roman" w:eastAsia="Times New Roman" w:hAnsi="Times New Roman" w:cs="Angsana New"/>
      <w:color w:val="000000"/>
      <w:sz w:val="24"/>
      <w:szCs w:val="24"/>
      <w:lang w:bidi="th-TH"/>
    </w:rPr>
  </w:style>
  <w:style w:type="paragraph" w:customStyle="1" w:styleId="style147">
    <w:name w:val="style147"/>
    <w:basedOn w:val="Normal"/>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italic">
    <w:name w:val="italic"/>
    <w:basedOn w:val="DefaultParagraphFont"/>
  </w:style>
  <w:style w:type="paragraph" w:customStyle="1" w:styleId="style160">
    <w:name w:val="style160"/>
    <w:basedOn w:val="Normal"/>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style154">
    <w:name w:val="style154"/>
    <w:basedOn w:val="Normal"/>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auto-style1">
    <w:name w:val="auto-style1"/>
    <w:basedOn w:val="DefaultParagraphFont"/>
  </w:style>
  <w:style w:type="character" w:customStyle="1" w:styleId="style158">
    <w:name w:val="style158"/>
    <w:basedOn w:val="DefaultParagraphFont"/>
  </w:style>
  <w:style w:type="character" w:customStyle="1" w:styleId="style139">
    <w:name w:val="style139"/>
    <w:basedOn w:val="DefaultParagraphFont"/>
  </w:style>
  <w:style w:type="character" w:customStyle="1" w:styleId="style142">
    <w:name w:val="style142"/>
    <w:basedOn w:val="DefaultParagraphFont"/>
  </w:style>
  <w:style w:type="table" w:customStyle="1" w:styleId="PlainTable52">
    <w:name w:val="Plain Table 52"/>
    <w:basedOn w:val="TableNormal"/>
    <w:uiPriority w:val="99"/>
    <w:rPr>
      <w:rFonts w:ascii="Times" w:eastAsia="Times" w:hAnsi="Times"/>
      <w:lang w:val="en-AU" w:eastAsia="en-AU"/>
    </w:rP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59"/>
    <w:rPr>
      <w:lang w:val="en-MY"/>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ocssharedwiztogglelabeledlabeltext">
    <w:name w:val="docssharedwiztogglelabeledlabeltext"/>
    <w:basedOn w:val="DefaultParagraphFont"/>
  </w:style>
  <w:style w:type="character" w:customStyle="1" w:styleId="ts-alignment-element">
    <w:name w:val="ts-alignment-element"/>
    <w:basedOn w:val="DefaultParagraphFont"/>
  </w:style>
  <w:style w:type="character" w:customStyle="1" w:styleId="ts-alignment-element-highlighted">
    <w:name w:val="ts-alignment-element-highlighted"/>
    <w:basedOn w:val="DefaultParagraphFont"/>
  </w:style>
  <w:style w:type="paragraph" w:customStyle="1" w:styleId="RobotoHeading">
    <w:name w:val="Roboto Heading"/>
    <w:basedOn w:val="Normal"/>
    <w:link w:val="RobotoHeadingChar"/>
    <w:qFormat/>
    <w:pPr>
      <w:spacing w:after="0" w:line="240" w:lineRule="auto"/>
      <w:jc w:val="center"/>
    </w:pPr>
    <w:rPr>
      <w:rFonts w:ascii="Roboto" w:hAnsi="Roboto" w:cs="Calibri"/>
      <w:b/>
      <w:bCs/>
      <w:sz w:val="40"/>
      <w:szCs w:val="40"/>
    </w:rPr>
  </w:style>
  <w:style w:type="paragraph" w:customStyle="1" w:styleId="AuthorHeading">
    <w:name w:val="Author Heading"/>
    <w:basedOn w:val="Normal"/>
    <w:link w:val="AuthorHeadingChar"/>
    <w:qFormat/>
    <w:pPr>
      <w:spacing w:after="0" w:line="240" w:lineRule="auto"/>
      <w:jc w:val="center"/>
    </w:pPr>
    <w:rPr>
      <w:rFonts w:ascii="Arial" w:hAnsi="Arial"/>
      <w:sz w:val="32"/>
      <w:szCs w:val="32"/>
    </w:rPr>
  </w:style>
  <w:style w:type="character" w:customStyle="1" w:styleId="RobotoHeadingChar">
    <w:name w:val="Roboto Heading Char"/>
    <w:basedOn w:val="DefaultParagraphFont"/>
    <w:link w:val="RobotoHeading"/>
    <w:rPr>
      <w:rFonts w:ascii="Roboto" w:hAnsi="Roboto" w:cs="Calibri"/>
      <w:b/>
      <w:bCs/>
      <w:sz w:val="40"/>
      <w:szCs w:val="40"/>
    </w:rPr>
  </w:style>
  <w:style w:type="character" w:customStyle="1" w:styleId="AuthorHeadingChar">
    <w:name w:val="Author Heading Char"/>
    <w:basedOn w:val="DefaultParagraphFont"/>
    <w:link w:val="AuthorHeading"/>
    <w:rPr>
      <w:rFonts w:ascii="Arial" w:hAnsi="Arial"/>
      <w:sz w:val="32"/>
      <w:szCs w:val="32"/>
    </w:rPr>
  </w:style>
  <w:style w:type="paragraph" w:customStyle="1" w:styleId="ReferencesForPaper">
    <w:name w:val="References For Paper"/>
    <w:basedOn w:val="Normal"/>
    <w:link w:val="ReferencesForPaperChar"/>
    <w:qFormat/>
    <w:pPr>
      <w:spacing w:after="0" w:line="240" w:lineRule="auto"/>
      <w:ind w:left="567" w:hanging="720"/>
      <w:contextualSpacing/>
      <w:jc w:val="both"/>
    </w:pPr>
    <w:rPr>
      <w:rFonts w:ascii="Calibri" w:hAnsi="Calibri" w:cs="Calibri"/>
      <w:sz w:val="24"/>
      <w:szCs w:val="24"/>
      <w:lang w:val="en-MY" w:bidi="ar-EG"/>
    </w:rPr>
  </w:style>
  <w:style w:type="character" w:customStyle="1" w:styleId="ReferencesForPaperChar">
    <w:name w:val="References For Paper Char"/>
    <w:basedOn w:val="DefaultParagraphFont"/>
    <w:link w:val="ReferencesForPaper"/>
    <w:rPr>
      <w:rFonts w:ascii="Calibri" w:hAnsi="Calibri" w:cs="Calibri"/>
      <w:sz w:val="24"/>
      <w:szCs w:val="24"/>
      <w:lang w:val="en-MY" w:bidi="ar-EG"/>
    </w:rPr>
  </w:style>
  <w:style w:type="character" w:customStyle="1" w:styleId="cf01">
    <w:name w:val="cf01"/>
    <w:basedOn w:val="DefaultParagraphFont"/>
    <w:rPr>
      <w:rFonts w:ascii="Microsoft YaHei UI" w:eastAsia="Microsoft YaHei UI" w:hAnsi="Microsoft YaHei UI" w:hint="eastAsia"/>
      <w:sz w:val="18"/>
      <w:szCs w:val="18"/>
    </w:rPr>
  </w:style>
  <w:style w:type="character" w:customStyle="1" w:styleId="atn">
    <w:name w:val="atn"/>
    <w:basedOn w:val="DefaultParagraphFont"/>
  </w:style>
  <w:style w:type="character" w:customStyle="1" w:styleId="HTMLPreformattedChar1">
    <w:name w:val="HTML Preformatted Char1"/>
    <w:uiPriority w:val="99"/>
    <w:semiHidden/>
    <w:rPr>
      <w:rFonts w:ascii="Courier New" w:hAnsi="Courier New" w:cs="Courier New"/>
      <w:lang w:val="en-US" w:eastAsia="en-US"/>
    </w:rPr>
  </w:style>
  <w:style w:type="character" w:customStyle="1" w:styleId="EndnoteTextChar1">
    <w:name w:val="Endnote Text Char1"/>
    <w:uiPriority w:val="99"/>
    <w:semiHidden/>
    <w:rPr>
      <w:lang w:val="en-US" w:eastAsia="en-US"/>
    </w:rPr>
  </w:style>
  <w:style w:type="paragraph" w:customStyle="1" w:styleId="style20">
    <w:name w:val="style2"/>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edinfo">
    <w:name w:val="posted_info"/>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c">
    <w:name w:val="src"/>
    <w:basedOn w:val="Normal"/>
    <w:uiPriority w:val="99"/>
    <w:pPr>
      <w:spacing w:before="100" w:beforeAutospacing="1" w:after="100" w:afterAutospacing="1" w:line="240" w:lineRule="auto"/>
    </w:pPr>
    <w:rPr>
      <w:rFonts w:ascii="SimSun" w:eastAsia="SimSun" w:hAnsi="SimSun" w:cs="SimSun"/>
      <w:sz w:val="24"/>
      <w:szCs w:val="24"/>
      <w:lang w:eastAsia="zh-CN"/>
    </w:rPr>
  </w:style>
  <w:style w:type="paragraph" w:customStyle="1" w:styleId="PARA0">
    <w:name w:val="PARA"/>
    <w:basedOn w:val="Normal"/>
    <w:next w:val="Normal"/>
    <w:qFormat/>
    <w:pPr>
      <w:spacing w:after="0" w:line="240" w:lineRule="auto"/>
      <w:jc w:val="both"/>
    </w:pPr>
    <w:rPr>
      <w:rFonts w:ascii="Calibri" w:hAnsi="Calibri"/>
      <w:sz w:val="24"/>
      <w:szCs w:val="20"/>
      <w:lang w:val="en-MY"/>
    </w:rPr>
  </w:style>
  <w:style w:type="table" w:customStyle="1" w:styleId="TableGrid20">
    <w:name w:val="Table Grid20"/>
    <w:basedOn w:val="TableNormal"/>
    <w:uiPriority w:val="39"/>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Pr>
      <w:rFonts w:ascii="Calibri" w:eastAsia="Times New Roman" w:hAnsi="Calibri"/>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Pr>
      <w:rFonts w:ascii="Calibri" w:eastAsia="Times New Roman" w:hAnsi="Calibri"/>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a">
    <w:name w:val="Para 1 (a)"/>
    <w:basedOn w:val="Normal"/>
    <w:link w:val="Para1aChar"/>
    <w:autoRedefine/>
    <w:uiPriority w:val="10"/>
    <w:qFormat/>
    <w:pPr>
      <w:snapToGrid w:val="0"/>
      <w:spacing w:after="240" w:line="480" w:lineRule="auto"/>
      <w:ind w:firstLine="720"/>
      <w:jc w:val="both"/>
    </w:pPr>
    <w:rPr>
      <w:rFonts w:ascii="Times New Roman" w:eastAsia="SimSun" w:hAnsi="Times New Roman" w:cs="Times New Roman"/>
      <w:bCs/>
      <w:color w:val="000000" w:themeColor="text1"/>
      <w:sz w:val="24"/>
      <w:lang w:eastAsia="zh-CN"/>
    </w:rPr>
  </w:style>
  <w:style w:type="table" w:customStyle="1" w:styleId="TableGrid24">
    <w:name w:val="Table Grid2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pPr>
      <w:spacing w:after="200" w:line="276" w:lineRule="auto"/>
      <w:ind w:left="720"/>
      <w:contextualSpacing/>
    </w:pPr>
    <w:rPr>
      <w:rFonts w:ascii="Calibri" w:eastAsia="Calibri" w:hAnsi="Calibri" w:cs="Times New Roman"/>
    </w:rPr>
  </w:style>
  <w:style w:type="table" w:customStyle="1" w:styleId="BookTitle10">
    <w:name w:val="Book Title1"/>
    <w:basedOn w:val="TableNormal"/>
    <w:uiPriority w:val="69"/>
    <w:qFormat/>
    <w:rPr>
      <w:rFonts w:ascii="Calibri" w:eastAsia="Calibri" w:hAnsi="Calibri"/>
      <w:lang w:val="ms-MY" w:eastAsia="ja-JP"/>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paragraph" w:customStyle="1" w:styleId="Els-1storder-head">
    <w:name w:val="Els-1storder-head"/>
    <w:next w:val="Normal"/>
    <w:link w:val="Els-1storder-headChar"/>
    <w:qFormat/>
    <w:pPr>
      <w:keepNext/>
      <w:suppressAutoHyphens/>
      <w:spacing w:before="240" w:after="240" w:line="240" w:lineRule="exact"/>
      <w:ind w:left="2880"/>
    </w:pPr>
    <w:rPr>
      <w:b/>
    </w:rPr>
  </w:style>
  <w:style w:type="character" w:customStyle="1" w:styleId="Els-1storder-headChar">
    <w:name w:val="Els-1storder-head Char"/>
    <w:link w:val="Els-1storder-head"/>
    <w:rPr>
      <w:rFonts w:ascii="Times New Roman" w:eastAsia="SimSun" w:hAnsi="Times New Roman" w:cs="Times New Roman"/>
      <w:b/>
      <w:sz w:val="20"/>
      <w:szCs w:val="20"/>
    </w:rPr>
  </w:style>
  <w:style w:type="paragraph" w:customStyle="1" w:styleId="Els-2ndorder-head">
    <w:name w:val="Els-2ndorder-head"/>
    <w:next w:val="Normal"/>
    <w:qFormat/>
    <w:pPr>
      <w:keepNext/>
      <w:suppressAutoHyphens/>
      <w:spacing w:before="240" w:after="240" w:line="240" w:lineRule="exact"/>
      <w:ind w:left="2880"/>
    </w:pPr>
    <w:rPr>
      <w:i/>
    </w:rPr>
  </w:style>
  <w:style w:type="paragraph" w:customStyle="1" w:styleId="Els-3rdorder-head">
    <w:name w:val="Els-3rdorder-head"/>
    <w:next w:val="Normal"/>
    <w:qFormat/>
    <w:pPr>
      <w:keepNext/>
      <w:suppressAutoHyphens/>
      <w:spacing w:before="240" w:line="240" w:lineRule="exact"/>
      <w:ind w:left="2880"/>
    </w:pPr>
    <w:rPr>
      <w:i/>
    </w:rPr>
  </w:style>
  <w:style w:type="paragraph" w:customStyle="1" w:styleId="Els-4thorder-head">
    <w:name w:val="Els-4thorder-head"/>
    <w:next w:val="Normal"/>
    <w:qFormat/>
    <w:pPr>
      <w:keepNext/>
      <w:suppressAutoHyphens/>
      <w:spacing w:before="240" w:line="240" w:lineRule="exact"/>
      <w:ind w:left="2880"/>
    </w:pPr>
    <w:rPr>
      <w:i/>
    </w:rPr>
  </w:style>
  <w:style w:type="paragraph" w:customStyle="1" w:styleId="Els-caption">
    <w:name w:val="Els-caption"/>
    <w:pPr>
      <w:keepLines/>
      <w:spacing w:before="200" w:after="240" w:line="200" w:lineRule="exact"/>
    </w:pPr>
    <w:rPr>
      <w:sz w:val="16"/>
    </w:rPr>
  </w:style>
  <w:style w:type="paragraph" w:customStyle="1" w:styleId="Els-Affiliation">
    <w:name w:val="Els-Affiliation"/>
    <w:next w:val="Normal"/>
    <w:pPr>
      <w:suppressAutoHyphens/>
      <w:spacing w:line="200" w:lineRule="exact"/>
      <w:jc w:val="center"/>
    </w:pPr>
    <w:rPr>
      <w:i/>
      <w:sz w:val="16"/>
    </w:rPr>
  </w:style>
  <w:style w:type="paragraph" w:customStyle="1" w:styleId="Els-Author">
    <w:name w:val="Els-Author"/>
    <w:next w:val="Normal"/>
    <w:pPr>
      <w:keepNext/>
      <w:suppressAutoHyphens/>
      <w:spacing w:after="160" w:line="300" w:lineRule="exact"/>
      <w:jc w:val="center"/>
    </w:pPr>
    <w:rPr>
      <w:sz w:val="26"/>
    </w:rPr>
  </w:style>
  <w:style w:type="paragraph" w:customStyle="1" w:styleId="AuthorInfo">
    <w:name w:val="Author Info"/>
    <w:basedOn w:val="Normal"/>
    <w:pPr>
      <w:tabs>
        <w:tab w:val="right" w:pos="8640"/>
      </w:tabs>
      <w:spacing w:after="0" w:line="480" w:lineRule="auto"/>
      <w:jc w:val="center"/>
    </w:pPr>
    <w:rPr>
      <w:rFonts w:ascii="Times New Roman" w:eastAsia="Times New Roman" w:hAnsi="Times New Roman" w:cs="Times New Roman"/>
      <w:sz w:val="24"/>
      <w:szCs w:val="24"/>
    </w:rPr>
  </w:style>
  <w:style w:type="character" w:customStyle="1" w:styleId="FigureCaptionLabelChar">
    <w:name w:val="Figure Caption Label Char"/>
    <w:rPr>
      <w:rFonts w:ascii="Garamond" w:hAnsi="Garamond"/>
      <w:i/>
      <w:sz w:val="24"/>
      <w:szCs w:val="24"/>
      <w:lang w:val="en-US" w:eastAsia="en-US" w:bidi="ar-SA"/>
    </w:rPr>
  </w:style>
  <w:style w:type="table" w:customStyle="1" w:styleId="LightGrid2">
    <w:name w:val="Light Grid2"/>
    <w:basedOn w:val="TableNormal"/>
    <w:uiPriority w:val="62"/>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character" w:customStyle="1" w:styleId="A50">
    <w:name w:val="A5"/>
    <w:uiPriority w:val="99"/>
    <w:rPr>
      <w:i/>
      <w:iCs/>
      <w:color w:val="000000"/>
      <w:sz w:val="21"/>
      <w:szCs w:val="21"/>
    </w:rPr>
  </w:style>
  <w:style w:type="paragraph" w:customStyle="1" w:styleId="DecimalAligned">
    <w:name w:val="Decimal Aligned"/>
    <w:basedOn w:val="Normal"/>
    <w:uiPriority w:val="40"/>
    <w:qFormat/>
    <w:pPr>
      <w:tabs>
        <w:tab w:val="decimal" w:pos="360"/>
      </w:tabs>
      <w:spacing w:after="200" w:line="276" w:lineRule="auto"/>
    </w:pPr>
    <w:rPr>
      <w:rFonts w:ascii="Calibri" w:eastAsia="Calibri" w:hAnsi="Calibri" w:cs="Times New Roman"/>
      <w:lang w:eastAsia="ja-JP"/>
    </w:rPr>
  </w:style>
  <w:style w:type="character" w:customStyle="1" w:styleId="hit">
    <w:name w:val="hit"/>
  </w:style>
  <w:style w:type="paragraph" w:customStyle="1" w:styleId="databaseformattingfix">
    <w:name w:val="databaseformattingfix"/>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
    <w:name w:val="pl"/>
    <w:basedOn w:val="Normal"/>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ff2">
    <w:name w:val="ff2"/>
    <w:basedOn w:val="DefaultParagraphFont"/>
  </w:style>
  <w:style w:type="character" w:customStyle="1" w:styleId="gt-icon-text">
    <w:name w:val="gt-icon-text"/>
    <w:basedOn w:val="DefaultParagraphFont"/>
  </w:style>
  <w:style w:type="character" w:customStyle="1" w:styleId="mediumtext">
    <w:name w:val="medium_text"/>
    <w:basedOn w:val="DefaultParagraphFont"/>
  </w:style>
  <w:style w:type="character" w:customStyle="1" w:styleId="documenttype">
    <w:name w:val="documenttype"/>
  </w:style>
  <w:style w:type="character" w:customStyle="1" w:styleId="issue">
    <w:name w:val="issue"/>
    <w:basedOn w:val="DefaultParagraphFont"/>
  </w:style>
  <w:style w:type="character" w:customStyle="1" w:styleId="year">
    <w:name w:val="year"/>
    <w:basedOn w:val="DefaultParagraphFont"/>
  </w:style>
  <w:style w:type="paragraph" w:customStyle="1" w:styleId="fititle">
    <w:name w:val="fititle"/>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
    <w:name w:val="cap"/>
    <w:basedOn w:val="Normal"/>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5Dark-Accent110">
    <w:name w:val="Grid Table 5 Dark - Accent 11"/>
    <w:basedOn w:val="TableNormal"/>
    <w:uiPriority w:val="50"/>
    <w:rPr>
      <w:lang w:val="en-MY"/>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hiddengrammarerror">
    <w:name w:val="hiddengrammarerror"/>
    <w:basedOn w:val="DefaultParagraphFont"/>
  </w:style>
  <w:style w:type="paragraph" w:customStyle="1" w:styleId="TAMainText">
    <w:name w:val="TA_Main_Text"/>
    <w:basedOn w:val="Normal"/>
    <w:pPr>
      <w:spacing w:after="0" w:line="220" w:lineRule="exact"/>
      <w:ind w:firstLine="187"/>
      <w:jc w:val="both"/>
    </w:pPr>
    <w:rPr>
      <w:rFonts w:ascii="Times" w:eastAsia="SimSun" w:hAnsi="Times" w:cs="Times New Roman"/>
      <w:sz w:val="18"/>
      <w:szCs w:val="20"/>
    </w:rPr>
  </w:style>
  <w:style w:type="character" w:customStyle="1" w:styleId="FootnoteCharacters">
    <w:name w:val="Footnote Characters"/>
    <w:qFormat/>
    <w:rPr>
      <w:vertAlign w:val="superscript"/>
    </w:rPr>
  </w:style>
  <w:style w:type="character" w:customStyle="1" w:styleId="FootnoteAnchor">
    <w:name w:val="Footnote Anchor"/>
    <w:rPr>
      <w:vertAlign w:val="superscript"/>
    </w:r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lang w:val="en-AU" w:eastAsia="en-AU"/>
    </w:rPr>
  </w:style>
  <w:style w:type="character" w:customStyle="1" w:styleId="NoneA">
    <w:name w:val="None A"/>
    <w:rPr>
      <w:lang w:val="en-US"/>
    </w:rPr>
  </w:style>
  <w:style w:type="paragraph" w:customStyle="1" w:styleId="BodyBA">
    <w:name w:val="Body B A"/>
    <w:rPr>
      <w:rFonts w:eastAsia="Arial Unicode MS" w:cs="Arial Unicode MS"/>
      <w:color w:val="000000"/>
      <w:sz w:val="24"/>
      <w:szCs w:val="24"/>
      <w:u w:color="000000"/>
      <w:lang w:eastAsia="en-AU"/>
    </w:rPr>
  </w:style>
  <w:style w:type="character" w:customStyle="1" w:styleId="Hyperlink0">
    <w:name w:val="Hyperlink.0"/>
    <w:basedOn w:val="None"/>
    <w:rPr>
      <w:rFonts w:ascii="Calibri" w:eastAsia="Calibri" w:hAnsi="Calibri" w:cs="Calibri"/>
      <w:color w:val="0000FF"/>
      <w:sz w:val="24"/>
      <w:szCs w:val="24"/>
      <w:u w:val="single" w:color="0000FF"/>
    </w:rPr>
  </w:style>
  <w:style w:type="character" w:customStyle="1" w:styleId="Hyperlink10">
    <w:name w:val="Hyperlink.1"/>
    <w:basedOn w:val="None"/>
    <w:rPr>
      <w:rFonts w:ascii="Calibri" w:eastAsia="Calibri" w:hAnsi="Calibri" w:cs="Calibri"/>
      <w:color w:val="0000FF"/>
      <w:u w:val="single" w:color="0000FF"/>
    </w:rPr>
  </w:style>
  <w:style w:type="character" w:customStyle="1" w:styleId="Hyperlink2">
    <w:name w:val="Hyperlink.2"/>
    <w:basedOn w:val="None"/>
    <w:rPr>
      <w:rFonts w:ascii="Calibri" w:eastAsia="Calibri" w:hAnsi="Calibri" w:cs="Calibri"/>
      <w:color w:val="0000FF"/>
      <w:sz w:val="24"/>
      <w:szCs w:val="24"/>
      <w:u w:val="single" w:color="0000FF"/>
      <w:lang w:val="en-US"/>
    </w:rPr>
  </w:style>
  <w:style w:type="paragraph" w:customStyle="1" w:styleId="TFReferencesSection">
    <w:name w:val="TF_References_Section"/>
    <w:basedOn w:val="Normal"/>
    <w:pPr>
      <w:spacing w:after="0" w:line="150" w:lineRule="exact"/>
      <w:ind w:left="346" w:hanging="346"/>
      <w:jc w:val="both"/>
    </w:pPr>
    <w:rPr>
      <w:rFonts w:ascii="Times" w:eastAsia="SimSun" w:hAnsi="Times" w:cs="Times New Roman"/>
      <w:sz w:val="15"/>
      <w:szCs w:val="20"/>
    </w:rPr>
  </w:style>
  <w:style w:type="character" w:customStyle="1" w:styleId="MTEquationSection">
    <w:name w:val="MTEquationSection"/>
    <w:rPr>
      <w:b/>
      <w:vanish/>
      <w:color w:val="FF0000"/>
      <w:sz w:val="36"/>
    </w:rPr>
  </w:style>
  <w:style w:type="paragraph" w:customStyle="1" w:styleId="VCSchemeTitle">
    <w:name w:val="VC_Scheme_Title"/>
    <w:basedOn w:val="Normal"/>
    <w:next w:val="Normal"/>
    <w:pPr>
      <w:spacing w:before="135" w:after="415" w:line="180" w:lineRule="exact"/>
      <w:jc w:val="both"/>
    </w:pPr>
    <w:rPr>
      <w:rFonts w:ascii="Helvetica" w:eastAsia="SimSun" w:hAnsi="Helvetica" w:cs="Times New Roman"/>
      <w:sz w:val="16"/>
      <w:szCs w:val="20"/>
    </w:rPr>
  </w:style>
  <w:style w:type="paragraph" w:customStyle="1" w:styleId="referenceitem0">
    <w:name w:val="reference item"/>
    <w:basedOn w:val="Normal"/>
    <w:pPr>
      <w:spacing w:after="0" w:line="360" w:lineRule="auto"/>
      <w:ind w:left="284" w:hanging="284"/>
    </w:pPr>
    <w:rPr>
      <w:rFonts w:ascii="Times New Roman" w:eastAsia="SimSun" w:hAnsi="Times New Roman" w:cs="Times New Roman"/>
      <w:sz w:val="20"/>
      <w:szCs w:val="20"/>
    </w:rPr>
  </w:style>
  <w:style w:type="paragraph" w:customStyle="1" w:styleId="TDAcknowledgments">
    <w:name w:val="TD_Acknowledgments"/>
    <w:basedOn w:val="Normal"/>
    <w:next w:val="TESupportingInformation"/>
    <w:pPr>
      <w:spacing w:before="120" w:after="0" w:line="220" w:lineRule="exact"/>
      <w:ind w:firstLine="187"/>
      <w:jc w:val="both"/>
    </w:pPr>
    <w:rPr>
      <w:rFonts w:ascii="Times" w:eastAsia="SimSun" w:hAnsi="Times" w:cs="Times New Roman"/>
      <w:sz w:val="18"/>
      <w:szCs w:val="20"/>
    </w:rPr>
  </w:style>
  <w:style w:type="paragraph" w:customStyle="1" w:styleId="TESupportingInformation">
    <w:name w:val="TE_Supporting_Information"/>
    <w:basedOn w:val="Normal"/>
    <w:pPr>
      <w:spacing w:before="120" w:after="400" w:line="210" w:lineRule="exact"/>
      <w:ind w:firstLine="187"/>
      <w:jc w:val="both"/>
    </w:pPr>
    <w:rPr>
      <w:rFonts w:ascii="Times" w:eastAsia="SimSun" w:hAnsi="Times" w:cs="Times New Roman"/>
      <w:sz w:val="17"/>
      <w:szCs w:val="20"/>
    </w:rPr>
  </w:style>
  <w:style w:type="paragraph" w:customStyle="1" w:styleId="BATitle">
    <w:name w:val="BA_Title"/>
    <w:next w:val="BBAuthorName"/>
    <w:pPr>
      <w:spacing w:before="1380" w:line="250" w:lineRule="exact"/>
      <w:ind w:left="360" w:right="360"/>
      <w:jc w:val="center"/>
    </w:pPr>
    <w:rPr>
      <w:rFonts w:ascii="Helvetica" w:hAnsi="Helvetica"/>
      <w:b/>
      <w:sz w:val="23"/>
    </w:rPr>
  </w:style>
  <w:style w:type="paragraph" w:customStyle="1" w:styleId="BBAuthorName">
    <w:name w:val="BB_Author_Name"/>
    <w:basedOn w:val="Normal"/>
    <w:next w:val="BCAuthorAddress"/>
    <w:pPr>
      <w:spacing w:before="80" w:after="0" w:line="210" w:lineRule="exact"/>
      <w:ind w:left="706" w:right="706"/>
      <w:jc w:val="center"/>
    </w:pPr>
    <w:rPr>
      <w:rFonts w:ascii="Helvetica" w:eastAsia="SimSun" w:hAnsi="Helvetica" w:cs="Times New Roman"/>
      <w:sz w:val="19"/>
      <w:szCs w:val="20"/>
    </w:rPr>
  </w:style>
  <w:style w:type="paragraph" w:customStyle="1" w:styleId="BCAuthorAddress">
    <w:name w:val="BC_Author_Address"/>
    <w:basedOn w:val="Normal"/>
    <w:next w:val="Normal"/>
    <w:pPr>
      <w:spacing w:before="80" w:after="0" w:line="200" w:lineRule="exact"/>
      <w:ind w:left="706" w:right="706"/>
      <w:jc w:val="center"/>
    </w:pPr>
    <w:rPr>
      <w:rFonts w:ascii="Times" w:eastAsia="SimSun" w:hAnsi="Times" w:cs="Times New Roman"/>
      <w:i/>
      <w:sz w:val="18"/>
      <w:szCs w:val="20"/>
    </w:rPr>
  </w:style>
  <w:style w:type="paragraph" w:customStyle="1" w:styleId="AIReceivedDate">
    <w:name w:val="AI_Received_Date"/>
    <w:basedOn w:val="Normal"/>
    <w:next w:val="Normal"/>
    <w:pPr>
      <w:spacing w:after="180" w:line="280" w:lineRule="exact"/>
      <w:jc w:val="center"/>
    </w:pPr>
    <w:rPr>
      <w:rFonts w:ascii="Helvetica" w:eastAsia="SimSun" w:hAnsi="Helvetica" w:cs="Times New Roman"/>
      <w:sz w:val="15"/>
      <w:szCs w:val="20"/>
    </w:rPr>
  </w:style>
  <w:style w:type="paragraph" w:customStyle="1" w:styleId="VDTableTitle">
    <w:name w:val="VD_Table_Title"/>
    <w:basedOn w:val="Normal"/>
    <w:next w:val="Normal"/>
    <w:pPr>
      <w:spacing w:before="120" w:after="240" w:line="180" w:lineRule="exact"/>
      <w:jc w:val="both"/>
    </w:pPr>
    <w:rPr>
      <w:rFonts w:ascii="Helvetica" w:eastAsia="SimSun" w:hAnsi="Helvetica" w:cs="Times New Roman"/>
      <w:sz w:val="16"/>
      <w:szCs w:val="20"/>
    </w:rPr>
  </w:style>
  <w:style w:type="paragraph" w:customStyle="1" w:styleId="FCChartFootnote">
    <w:name w:val="FC_Chart_Footnote"/>
    <w:basedOn w:val="FETableFootnote"/>
  </w:style>
  <w:style w:type="paragraph" w:customStyle="1" w:styleId="FETableFootnote">
    <w:name w:val="FE_Table_Footnote"/>
    <w:basedOn w:val="Normal"/>
    <w:pPr>
      <w:spacing w:after="120" w:line="180" w:lineRule="exact"/>
      <w:ind w:firstLine="187"/>
      <w:jc w:val="both"/>
    </w:pPr>
    <w:rPr>
      <w:rFonts w:ascii="Times" w:eastAsia="SimSun" w:hAnsi="Times" w:cs="Times New Roman"/>
      <w:sz w:val="16"/>
      <w:szCs w:val="20"/>
    </w:rPr>
  </w:style>
  <w:style w:type="paragraph" w:customStyle="1" w:styleId="VAFigureCaption">
    <w:name w:val="VA_Figure_Caption"/>
    <w:basedOn w:val="Normal"/>
    <w:next w:val="Normal"/>
    <w:pPr>
      <w:spacing w:before="255" w:after="295" w:line="180" w:lineRule="exact"/>
      <w:jc w:val="both"/>
    </w:pPr>
    <w:rPr>
      <w:rFonts w:ascii="Times" w:eastAsia="SimSun" w:hAnsi="Times" w:cs="Times New Roman"/>
      <w:sz w:val="16"/>
      <w:szCs w:val="20"/>
    </w:rPr>
  </w:style>
  <w:style w:type="paragraph" w:customStyle="1" w:styleId="VBChartTitle">
    <w:name w:val="VB_Chart_Title"/>
    <w:basedOn w:val="Normal"/>
    <w:next w:val="Normal"/>
    <w:pPr>
      <w:spacing w:before="135" w:after="415" w:line="180" w:lineRule="exact"/>
      <w:jc w:val="both"/>
    </w:pPr>
    <w:rPr>
      <w:rFonts w:ascii="Helvetica" w:eastAsia="SimSun" w:hAnsi="Helvetica" w:cs="Times New Roman"/>
      <w:sz w:val="16"/>
      <w:szCs w:val="20"/>
    </w:rPr>
  </w:style>
  <w:style w:type="paragraph" w:customStyle="1" w:styleId="BIEmailAddress">
    <w:name w:val="BI_Email_Address"/>
    <w:next w:val="Normal"/>
    <w:pPr>
      <w:spacing w:after="180" w:line="280" w:lineRule="exact"/>
      <w:jc w:val="center"/>
    </w:pPr>
    <w:rPr>
      <w:rFonts w:ascii="Helvetica" w:hAnsi="Helvetica"/>
      <w:sz w:val="15"/>
    </w:rPr>
  </w:style>
  <w:style w:type="paragraph" w:customStyle="1" w:styleId="FDSchemeFootnote">
    <w:name w:val="FD_Scheme_Footnote"/>
    <w:basedOn w:val="FCChartFootnote"/>
  </w:style>
  <w:style w:type="paragraph" w:customStyle="1" w:styleId="TCTableBody">
    <w:name w:val="TC_Table_Body"/>
    <w:basedOn w:val="VDTableTitle"/>
    <w:pPr>
      <w:spacing w:before="0" w:after="0"/>
    </w:pPr>
    <w:rPr>
      <w:rFonts w:ascii="Times" w:hAnsi="Times"/>
    </w:rPr>
  </w:style>
  <w:style w:type="paragraph" w:customStyle="1" w:styleId="BDAbstract">
    <w:name w:val="BD_Abstract"/>
    <w:basedOn w:val="TAMainText"/>
    <w:pPr>
      <w:pBdr>
        <w:top w:val="single" w:sz="4" w:space="3" w:color="auto"/>
        <w:bottom w:val="single" w:sz="4" w:space="3" w:color="auto"/>
      </w:pBdr>
      <w:spacing w:before="120" w:after="120"/>
      <w:ind w:firstLine="0"/>
    </w:pPr>
    <w:rPr>
      <w:rFonts w:ascii="Helvetica" w:hAnsi="Helvetica"/>
    </w:rPr>
  </w:style>
  <w:style w:type="paragraph" w:customStyle="1" w:styleId="Para4lines">
    <w:name w:val="Para 4 lines"/>
    <w:basedOn w:val="Normal"/>
    <w:link w:val="Para4linesChar"/>
    <w:uiPriority w:val="10"/>
    <w:qFormat/>
    <w:pPr>
      <w:spacing w:afterLines="200" w:after="480" w:line="240" w:lineRule="auto"/>
      <w:ind w:firstLine="720"/>
      <w:jc w:val="both"/>
    </w:pPr>
    <w:rPr>
      <w:rFonts w:ascii="Helvetica" w:eastAsia="SimSun" w:hAnsi="Helvetica" w:cs="Times New Roman"/>
      <w:color w:val="000000"/>
      <w:spacing w:val="15"/>
      <w:szCs w:val="24"/>
      <w:lang w:eastAsia="zh-CN"/>
    </w:rPr>
  </w:style>
  <w:style w:type="character" w:customStyle="1" w:styleId="EndNoteBibliographyTitle1">
    <w:name w:val="EndNote Bibliography Title 字符"/>
    <w:rPr>
      <w:sz w:val="24"/>
      <w:lang w:eastAsia="en-US"/>
    </w:rPr>
  </w:style>
  <w:style w:type="character" w:customStyle="1" w:styleId="EndNoteBibliography1">
    <w:name w:val="EndNote Bibliography 字符"/>
    <w:qFormat/>
    <w:rPr>
      <w:sz w:val="24"/>
      <w:lang w:eastAsia="en-US"/>
    </w:rPr>
  </w:style>
  <w:style w:type="character" w:customStyle="1" w:styleId="rynqvb">
    <w:name w:val="rynqvb"/>
    <w:basedOn w:val="DefaultParagraphFont"/>
  </w:style>
  <w:style w:type="paragraph" w:customStyle="1" w:styleId="root-block-node">
    <w:name w:val="root-block-node"/>
    <w:basedOn w:val="Normal"/>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katex-mathml">
    <w:name w:val="katex-mathml"/>
    <w:basedOn w:val="DefaultParagraphFont"/>
  </w:style>
  <w:style w:type="character" w:customStyle="1" w:styleId="mord">
    <w:name w:val="mord"/>
    <w:basedOn w:val="DefaultParagraphFont"/>
    <w:qFormat/>
  </w:style>
  <w:style w:type="character" w:customStyle="1" w:styleId="mrel">
    <w:name w:val="mrel"/>
    <w:basedOn w:val="DefaultParagraphFont"/>
  </w:style>
  <w:style w:type="paragraph" w:customStyle="1" w:styleId="ListofReferences">
    <w:name w:val="List of References"/>
    <w:basedOn w:val="Normal"/>
    <w:link w:val="ListofReferencesChar"/>
    <w:autoRedefine/>
    <w:uiPriority w:val="14"/>
    <w:qFormat/>
    <w:pPr>
      <w:autoSpaceDE w:val="0"/>
      <w:autoSpaceDN w:val="0"/>
      <w:adjustRightInd w:val="0"/>
      <w:spacing w:after="0" w:line="240" w:lineRule="auto"/>
      <w:ind w:left="720" w:hanging="720"/>
      <w:jc w:val="both"/>
    </w:pPr>
    <w:rPr>
      <w:rFonts w:eastAsia="SimSun" w:cs="Times New Roman"/>
      <w:color w:val="000000" w:themeColor="text1"/>
      <w:sz w:val="24"/>
      <w:szCs w:val="24"/>
      <w:lang w:val="en-MY" w:eastAsia="zh-CN"/>
    </w:rPr>
  </w:style>
  <w:style w:type="paragraph" w:customStyle="1" w:styleId="MDPI51figurecaption">
    <w:name w:val="MDPI_5.1_figure_caption"/>
    <w:qFormat/>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1heading1">
    <w:name w:val="MDPI_2.1_heading1"/>
    <w:qFormat/>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pPr>
      <w:adjustRightInd w:val="0"/>
      <w:snapToGrid w:val="0"/>
      <w:spacing w:before="60" w:after="60" w:line="228" w:lineRule="auto"/>
      <w:ind w:left="2608"/>
      <w:outlineLvl w:val="1"/>
    </w:pPr>
    <w:rPr>
      <w:rFonts w:ascii="Palatino Linotype" w:eastAsia="Times New Roman" w:hAnsi="Palatino Linotype"/>
      <w:i/>
      <w:snapToGrid w:val="0"/>
      <w:color w:val="000000"/>
      <w:szCs w:val="22"/>
      <w:lang w:eastAsia="de-DE" w:bidi="en-US"/>
    </w:rPr>
  </w:style>
  <w:style w:type="table" w:customStyle="1" w:styleId="ListTable6Colorful-Accent21">
    <w:name w:val="List Table 6 Colorful - Accent 21"/>
    <w:basedOn w:val="TableNormal"/>
    <w:uiPriority w:val="99"/>
    <w:rPr>
      <w:color w:val="C45911" w:themeColor="accent2" w:themeShade="BF"/>
      <w:kern w:val="2"/>
      <w:sz w:val="24"/>
      <w:szCs w:val="24"/>
      <w:lang w:val="en-MY"/>
      <w14:ligatures w14:val="standardContextual"/>
    </w:rPr>
    <w:tblPr>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erAbs">
    <w:name w:val="Header (Abs."/>
    <w:basedOn w:val="Heading1"/>
    <w:qFormat/>
    <w:pPr>
      <w:keepLines w:val="0"/>
      <w:spacing w:before="240" w:after="240" w:line="240" w:lineRule="auto"/>
      <w:ind w:firstLine="0"/>
    </w:pPr>
    <w:rPr>
      <w:rFonts w:ascii="Times New Roman" w:eastAsiaTheme="minorEastAsia" w:hAnsi="Times New Roman" w:cs="Times New Roman"/>
      <w:bCs w:val="0"/>
      <w:caps/>
      <w:color w:val="auto"/>
      <w:sz w:val="24"/>
      <w:szCs w:val="20"/>
      <w:lang w:bidi="ar-SA"/>
    </w:rPr>
  </w:style>
  <w:style w:type="paragraph" w:customStyle="1" w:styleId="TableCaption">
    <w:name w:val="Table_Caption"/>
    <w:basedOn w:val="Normal"/>
    <w:qFormat/>
    <w:pPr>
      <w:keepNext/>
      <w:spacing w:before="240" w:after="120" w:line="240" w:lineRule="auto"/>
      <w:jc w:val="center"/>
    </w:pPr>
    <w:rPr>
      <w:rFonts w:ascii="Times New Roman" w:eastAsiaTheme="minorEastAsia" w:hAnsi="Times New Roman" w:cs="Times New Roman"/>
      <w:sz w:val="20"/>
      <w:szCs w:val="24"/>
      <w:lang w:val="en-GB"/>
    </w:rPr>
  </w:style>
  <w:style w:type="character" w:customStyle="1" w:styleId="CharChar">
    <w:name w:val="Char Char"/>
    <w:qFormat/>
    <w:rPr>
      <w:sz w:val="24"/>
      <w:lang w:val="en-US" w:eastAsia="en-US" w:bidi="ar-SA"/>
    </w:rPr>
  </w:style>
  <w:style w:type="paragraph" w:customStyle="1" w:styleId="Stluspapertitle17pt3">
    <w:name w:val="Stílus paper title + 17 pt3"/>
    <w:basedOn w:val="Normal"/>
    <w:qFormat/>
    <w:pPr>
      <w:spacing w:after="60" w:line="240" w:lineRule="auto"/>
      <w:jc w:val="center"/>
    </w:pPr>
    <w:rPr>
      <w:rFonts w:ascii="Times New Roman" w:eastAsiaTheme="minorEastAsia" w:hAnsi="Times New Roman" w:cs="Times New Roman"/>
      <w:spacing w:val="4"/>
      <w:sz w:val="34"/>
      <w:szCs w:val="34"/>
    </w:rPr>
  </w:style>
  <w:style w:type="character" w:customStyle="1" w:styleId="E-mailSignatureChar">
    <w:name w:val="E-mail Signature Char"/>
    <w:basedOn w:val="DefaultParagraphFont"/>
    <w:link w:val="E-mailSignature"/>
    <w:uiPriority w:val="99"/>
    <w:semiHidden/>
    <w:qFormat/>
    <w:rPr>
      <w:rFonts w:ascii="Times New Roman" w:eastAsia="SimSun" w:hAnsi="Times New Roman" w:cs="Times New Roman"/>
      <w:sz w:val="24"/>
      <w:szCs w:val="24"/>
      <w:lang w:val="en-MY"/>
    </w:rPr>
  </w:style>
  <w:style w:type="paragraph" w:customStyle="1" w:styleId="AbstractAcknowledgement">
    <w:name w:val="Abstract &amp; Acknowledgement"/>
    <w:basedOn w:val="Normal"/>
    <w:uiPriority w:val="5"/>
    <w:qFormat/>
    <w:pPr>
      <w:spacing w:before="400" w:after="360" w:line="480" w:lineRule="auto"/>
      <w:jc w:val="both"/>
    </w:pPr>
    <w:rPr>
      <w:rFonts w:ascii="Times New Roman" w:eastAsia="SimSun" w:hAnsi="Times New Roman" w:cs="Times New Roman"/>
      <w:sz w:val="24"/>
      <w:szCs w:val="24"/>
      <w:lang w:val="en-GB"/>
    </w:rPr>
  </w:style>
  <w:style w:type="paragraph" w:customStyle="1" w:styleId="Revision10">
    <w:name w:val="Revision1"/>
    <w:uiPriority w:val="99"/>
    <w:semiHidden/>
    <w:qFormat/>
    <w:rPr>
      <w:sz w:val="24"/>
      <w:szCs w:val="24"/>
      <w:lang w:val="en-MY"/>
    </w:rPr>
  </w:style>
  <w:style w:type="paragraph" w:customStyle="1" w:styleId="TOCHeading10">
    <w:name w:val="TOC Heading1"/>
    <w:basedOn w:val="Heading1"/>
    <w:next w:val="Normal"/>
    <w:uiPriority w:val="39"/>
    <w:semiHidden/>
    <w:qFormat/>
    <w:pPr>
      <w:keepLines w:val="0"/>
      <w:tabs>
        <w:tab w:val="left" w:pos="57"/>
        <w:tab w:val="left" w:pos="3460"/>
      </w:tabs>
      <w:spacing w:before="0" w:after="600" w:line="240" w:lineRule="auto"/>
      <w:ind w:firstLine="0"/>
      <w:jc w:val="center"/>
      <w:outlineLvl w:val="9"/>
    </w:pPr>
    <w:rPr>
      <w:rFonts w:ascii="Times New Roman" w:eastAsia="SimSun" w:hAnsi="Times New Roman" w:cs="Times New Roman"/>
      <w:caps/>
      <w:color w:val="auto"/>
      <w:kern w:val="32"/>
      <w:sz w:val="24"/>
      <w:szCs w:val="32"/>
      <w:lang w:val="en-MY" w:bidi="ar-SA"/>
    </w:rPr>
  </w:style>
  <w:style w:type="paragraph" w:customStyle="1" w:styleId="CaptionFigureLocation">
    <w:name w:val="Caption Figure Location"/>
    <w:basedOn w:val="Caption"/>
    <w:next w:val="Normal"/>
    <w:uiPriority w:val="11"/>
    <w:qFormat/>
    <w:pPr>
      <w:widowControl w:val="0"/>
      <w:tabs>
        <w:tab w:val="center" w:pos="317"/>
      </w:tabs>
      <w:spacing w:before="240" w:after="120" w:line="240" w:lineRule="auto"/>
    </w:pPr>
    <w:rPr>
      <w:rFonts w:ascii="Calibri" w:eastAsia="Calibri" w:hAnsi="Calibri" w:cs="Arial"/>
      <w:b w:val="0"/>
      <w:sz w:val="24"/>
      <w:szCs w:val="18"/>
      <w:lang w:val="en-MY"/>
    </w:rPr>
  </w:style>
  <w:style w:type="paragraph" w:customStyle="1" w:styleId="MalayAbstractTitle">
    <w:name w:val="Malay Abstract Title"/>
    <w:basedOn w:val="Normal"/>
    <w:uiPriority w:val="4"/>
    <w:qFormat/>
    <w:pPr>
      <w:pageBreakBefore/>
      <w:spacing w:after="360" w:line="240" w:lineRule="auto"/>
      <w:jc w:val="center"/>
    </w:pPr>
    <w:rPr>
      <w:rFonts w:ascii="Times New Roman" w:eastAsia="SimSun" w:hAnsi="Times New Roman" w:cs="Times New Roman"/>
      <w:b/>
      <w:bCs/>
      <w:i/>
      <w:iCs/>
      <w:sz w:val="24"/>
      <w:szCs w:val="24"/>
      <w:lang w:val="en-MY"/>
    </w:rPr>
  </w:style>
  <w:style w:type="paragraph" w:customStyle="1" w:styleId="Listoftablesnew">
    <w:name w:val="List of tables new"/>
    <w:basedOn w:val="Normal"/>
    <w:next w:val="Normal"/>
    <w:uiPriority w:val="4"/>
    <w:qFormat/>
    <w:pPr>
      <w:tabs>
        <w:tab w:val="right" w:pos="8335"/>
      </w:tabs>
      <w:spacing w:after="120" w:line="480" w:lineRule="auto"/>
      <w:jc w:val="both"/>
    </w:pPr>
    <w:rPr>
      <w:rFonts w:ascii="Times New Roman" w:eastAsia="SimSun" w:hAnsi="Times New Roman" w:cs="Times New Roman"/>
      <w:sz w:val="24"/>
      <w:szCs w:val="24"/>
      <w:lang w:val="en-MY"/>
    </w:rPr>
  </w:style>
  <w:style w:type="character" w:customStyle="1" w:styleId="ListofReferencesChar">
    <w:name w:val="List of References Char"/>
    <w:basedOn w:val="DefaultParagraphFont"/>
    <w:link w:val="ListofReferences"/>
    <w:uiPriority w:val="12"/>
    <w:qFormat/>
    <w:locked/>
    <w:rPr>
      <w:rFonts w:eastAsia="SimSun" w:cs="Times New Roman"/>
      <w:color w:val="000000" w:themeColor="text1"/>
      <w:sz w:val="24"/>
      <w:szCs w:val="24"/>
      <w:lang w:val="en-MY" w:eastAsia="zh-CN"/>
    </w:rPr>
  </w:style>
  <w:style w:type="paragraph" w:customStyle="1" w:styleId="Captionforappendices">
    <w:name w:val="Caption for appendices"/>
    <w:basedOn w:val="Caption"/>
    <w:uiPriority w:val="11"/>
    <w:qFormat/>
    <w:pPr>
      <w:tabs>
        <w:tab w:val="center" w:pos="317"/>
      </w:tabs>
      <w:spacing w:before="240" w:line="240" w:lineRule="auto"/>
      <w:ind w:left="1021" w:hanging="1021"/>
    </w:pPr>
    <w:rPr>
      <w:rFonts w:ascii="Calibri" w:eastAsia="Calibri" w:hAnsi="Calibri" w:cs="Arial"/>
      <w:b w:val="0"/>
      <w:sz w:val="24"/>
      <w:szCs w:val="18"/>
      <w:lang w:val="en-MY"/>
    </w:rPr>
  </w:style>
  <w:style w:type="paragraph" w:customStyle="1" w:styleId="TitlePagename">
    <w:name w:val="Title Page name"/>
    <w:basedOn w:val="Normal"/>
    <w:uiPriority w:val="2"/>
    <w:qFormat/>
    <w:pPr>
      <w:spacing w:before="1800" w:after="120" w:line="240" w:lineRule="auto"/>
      <w:jc w:val="center"/>
    </w:pPr>
    <w:rPr>
      <w:rFonts w:ascii="Times New Roman" w:eastAsia="Calibri" w:hAnsi="Times New Roman" w:cs="Times New Roman"/>
      <w:sz w:val="24"/>
      <w:szCs w:val="36"/>
      <w:lang w:val="en-MY" w:eastAsia="en-MY"/>
    </w:rPr>
  </w:style>
  <w:style w:type="paragraph" w:customStyle="1" w:styleId="Cover-Faculty">
    <w:name w:val="Cover - Faculty"/>
    <w:basedOn w:val="Normal"/>
    <w:uiPriority w:val="1"/>
    <w:qFormat/>
    <w:pPr>
      <w:spacing w:after="1701" w:line="240" w:lineRule="auto"/>
      <w:jc w:val="center"/>
    </w:pPr>
    <w:rPr>
      <w:rFonts w:ascii="Times New Roman" w:eastAsia="Calibri" w:hAnsi="Times New Roman" w:cs="Times New Roman"/>
      <w:b/>
      <w:sz w:val="32"/>
      <w:szCs w:val="36"/>
      <w:lang w:val="en-MY" w:eastAsia="en-MY"/>
    </w:rPr>
  </w:style>
  <w:style w:type="paragraph" w:customStyle="1" w:styleId="NormalParagrahUnimas">
    <w:name w:val="Normal Paragrah Unimas"/>
    <w:basedOn w:val="Normal"/>
    <w:uiPriority w:val="4"/>
    <w:qFormat/>
    <w:pPr>
      <w:spacing w:after="120" w:line="480" w:lineRule="auto"/>
      <w:ind w:firstLine="720"/>
      <w:jc w:val="both"/>
    </w:pPr>
    <w:rPr>
      <w:rFonts w:ascii="Times New Roman" w:eastAsia="SimSun" w:hAnsi="Times New Roman" w:cs="Times New Roman"/>
      <w:sz w:val="24"/>
      <w:szCs w:val="24"/>
      <w:lang w:val="en-MY"/>
    </w:rPr>
  </w:style>
  <w:style w:type="paragraph" w:customStyle="1" w:styleId="Cover-ThesisTitle">
    <w:name w:val="Cover - Thesis Title"/>
    <w:basedOn w:val="Cover-Faculty"/>
    <w:next w:val="E-mailSignature"/>
    <w:uiPriority w:val="1"/>
    <w:qFormat/>
    <w:pPr>
      <w:spacing w:after="0"/>
    </w:pPr>
    <w:rPr>
      <w:sz w:val="28"/>
    </w:rPr>
  </w:style>
  <w:style w:type="paragraph" w:customStyle="1" w:styleId="Cover-NameDegreeYear">
    <w:name w:val="Cover - Name Degree Year"/>
    <w:basedOn w:val="Cover-Faculty"/>
    <w:uiPriority w:val="1"/>
    <w:qFormat/>
    <w:pPr>
      <w:spacing w:after="0"/>
    </w:pPr>
    <w:rPr>
      <w:sz w:val="24"/>
    </w:rPr>
  </w:style>
  <w:style w:type="paragraph" w:customStyle="1" w:styleId="TITLEATPREFACE">
    <w:name w:val="TITLE AT PREFACE"/>
    <w:basedOn w:val="Title"/>
    <w:next w:val="Normal"/>
    <w:uiPriority w:val="2"/>
    <w:qFormat/>
    <w:pPr>
      <w:keepNext w:val="0"/>
      <w:keepLines w:val="0"/>
      <w:pageBreakBefore/>
      <w:spacing w:before="0" w:after="600"/>
      <w:jc w:val="center"/>
      <w:outlineLvl w:val="3"/>
    </w:pPr>
    <w:rPr>
      <w:rFonts w:eastAsia="SimSun" w:cs="Times New Roman"/>
      <w:bCs/>
      <w:caps/>
      <w:kern w:val="28"/>
      <w:sz w:val="24"/>
      <w:szCs w:val="32"/>
      <w:lang w:val="en-MY" w:eastAsia="en-US"/>
    </w:rPr>
  </w:style>
  <w:style w:type="paragraph" w:customStyle="1" w:styleId="ParaUnimas">
    <w:name w:val="Para Unimas"/>
    <w:basedOn w:val="Normal"/>
    <w:uiPriority w:val="10"/>
    <w:qFormat/>
    <w:pPr>
      <w:spacing w:after="240" w:line="480" w:lineRule="auto"/>
      <w:ind w:firstLine="720"/>
      <w:jc w:val="both"/>
    </w:pPr>
    <w:rPr>
      <w:rFonts w:ascii="Times New Roman" w:eastAsia="SimSun" w:hAnsi="Times New Roman" w:cs="Times New Roman"/>
      <w:sz w:val="24"/>
      <w:szCs w:val="24"/>
      <w:lang w:val="en-MY"/>
    </w:rPr>
  </w:style>
  <w:style w:type="paragraph" w:customStyle="1" w:styleId="DeclarationText">
    <w:name w:val="Declaration Text"/>
    <w:basedOn w:val="ParaUnimas"/>
    <w:uiPriority w:val="4"/>
    <w:qFormat/>
    <w:pPr>
      <w:ind w:firstLine="0"/>
    </w:pPr>
  </w:style>
  <w:style w:type="character" w:customStyle="1" w:styleId="CaptionforTableChar">
    <w:name w:val="Caption for Table Char"/>
    <w:basedOn w:val="DefaultParagraphFont"/>
    <w:link w:val="CaptionforTable"/>
    <w:uiPriority w:val="13"/>
    <w:qFormat/>
    <w:locked/>
    <w:rPr>
      <w:rFonts w:ascii="Calibri" w:eastAsia="Calibri" w:hAnsi="Calibri" w:cs="Arial"/>
      <w:bCs/>
      <w:color w:val="201C20"/>
      <w:sz w:val="24"/>
      <w:szCs w:val="18"/>
      <w:lang w:val="en-MY" w:bidi="en-US"/>
    </w:rPr>
  </w:style>
  <w:style w:type="paragraph" w:customStyle="1" w:styleId="CaptionforTable">
    <w:name w:val="Caption for Table"/>
    <w:basedOn w:val="Caption"/>
    <w:next w:val="Normal"/>
    <w:link w:val="CaptionforTableChar"/>
    <w:uiPriority w:val="13"/>
    <w:qFormat/>
    <w:pPr>
      <w:tabs>
        <w:tab w:val="center" w:pos="317"/>
      </w:tabs>
      <w:spacing w:before="120" w:after="240" w:line="240" w:lineRule="auto"/>
      <w:jc w:val="center"/>
    </w:pPr>
    <w:rPr>
      <w:rFonts w:ascii="Calibri" w:eastAsia="Calibri" w:hAnsi="Calibri" w:cs="Arial"/>
      <w:b w:val="0"/>
      <w:color w:val="201C20"/>
      <w:sz w:val="24"/>
      <w:szCs w:val="18"/>
      <w:lang w:val="en-MY" w:bidi="en-US"/>
    </w:rPr>
  </w:style>
  <w:style w:type="paragraph" w:customStyle="1" w:styleId="CaptionforEquation">
    <w:name w:val="Caption for Equation"/>
    <w:basedOn w:val="Caption"/>
    <w:uiPriority w:val="11"/>
    <w:qFormat/>
    <w:pPr>
      <w:tabs>
        <w:tab w:val="center" w:pos="317"/>
      </w:tabs>
      <w:spacing w:before="240" w:line="240" w:lineRule="auto"/>
      <w:ind w:left="1021" w:hanging="1021"/>
    </w:pPr>
    <w:rPr>
      <w:rFonts w:ascii="Calibri" w:eastAsia="Calibri" w:hAnsi="Calibri" w:cs="Arial"/>
      <w:b w:val="0"/>
      <w:sz w:val="24"/>
      <w:szCs w:val="18"/>
      <w:lang w:val="en-MY"/>
    </w:rPr>
  </w:style>
  <w:style w:type="paragraph" w:customStyle="1" w:styleId="ABSTRAK">
    <w:name w:val="ABSTRAK"/>
    <w:basedOn w:val="TITLEATPREFACE"/>
    <w:uiPriority w:val="6"/>
    <w:qFormat/>
    <w:pPr>
      <w:pageBreakBefore w:val="0"/>
    </w:pPr>
    <w:rPr>
      <w:i/>
    </w:rPr>
  </w:style>
  <w:style w:type="paragraph" w:customStyle="1" w:styleId="Abstrak-Malay">
    <w:name w:val="Abstrak - Malay"/>
    <w:basedOn w:val="AbstractAcknowledgement"/>
    <w:uiPriority w:val="6"/>
    <w:qFormat/>
    <w:rPr>
      <w:i/>
    </w:rPr>
  </w:style>
  <w:style w:type="paragraph" w:customStyle="1" w:styleId="Abbreviation">
    <w:name w:val="Abbreviation"/>
    <w:basedOn w:val="Normal"/>
    <w:uiPriority w:val="4"/>
    <w:qFormat/>
    <w:pPr>
      <w:tabs>
        <w:tab w:val="left" w:pos="1418"/>
      </w:tabs>
      <w:spacing w:after="120" w:line="360" w:lineRule="auto"/>
      <w:jc w:val="both"/>
    </w:pPr>
    <w:rPr>
      <w:rFonts w:ascii="Times New Roman" w:eastAsia="SimSun" w:hAnsi="Times New Roman" w:cs="Times New Roman"/>
      <w:sz w:val="24"/>
      <w:szCs w:val="24"/>
      <w:lang w:val="en-MY"/>
    </w:rPr>
  </w:style>
  <w:style w:type="paragraph" w:customStyle="1" w:styleId="TableUnimas">
    <w:name w:val="Table Unimas"/>
    <w:basedOn w:val="Normal"/>
    <w:next w:val="NormalParagrahUnimas"/>
    <w:uiPriority w:val="4"/>
    <w:qFormat/>
    <w:pPr>
      <w:spacing w:after="120" w:line="360" w:lineRule="auto"/>
      <w:jc w:val="center"/>
    </w:pPr>
    <w:rPr>
      <w:rFonts w:ascii="Times New Roman" w:eastAsia="SimSun" w:hAnsi="Times New Roman" w:cs="Times New Roman"/>
      <w:sz w:val="24"/>
      <w:szCs w:val="24"/>
      <w:lang w:val="en-MY"/>
    </w:rPr>
  </w:style>
  <w:style w:type="paragraph" w:customStyle="1" w:styleId="TitlePage-TitleoftheThesis">
    <w:name w:val="Title Page - Title of the Thesis"/>
    <w:basedOn w:val="Normal"/>
    <w:uiPriority w:val="2"/>
    <w:qFormat/>
    <w:pPr>
      <w:spacing w:after="120" w:line="240" w:lineRule="auto"/>
      <w:jc w:val="center"/>
    </w:pPr>
    <w:rPr>
      <w:rFonts w:ascii="Times New Roman" w:eastAsia="SimSun" w:hAnsi="Times New Roman" w:cs="Times New Roman"/>
      <w:bCs/>
      <w:sz w:val="28"/>
      <w:szCs w:val="40"/>
      <w:lang w:val="en-MY"/>
    </w:rPr>
  </w:style>
  <w:style w:type="paragraph" w:customStyle="1" w:styleId="TitlePage-StudentName">
    <w:name w:val="Title Page - Student Name"/>
    <w:basedOn w:val="Normal"/>
    <w:uiPriority w:val="2"/>
    <w:qFormat/>
    <w:pPr>
      <w:spacing w:after="120" w:line="480" w:lineRule="auto"/>
      <w:jc w:val="center"/>
    </w:pPr>
    <w:rPr>
      <w:rFonts w:ascii="Times New Roman" w:eastAsia="SimSun" w:hAnsi="Times New Roman" w:cs="Times New Roman"/>
      <w:bCs/>
      <w:sz w:val="24"/>
      <w:szCs w:val="24"/>
      <w:lang w:val="en-MY"/>
    </w:rPr>
  </w:style>
  <w:style w:type="paragraph" w:customStyle="1" w:styleId="TitlePage-Declaration">
    <w:name w:val="Title Page - Declaration"/>
    <w:basedOn w:val="Normal"/>
    <w:uiPriority w:val="2"/>
    <w:qFormat/>
    <w:pPr>
      <w:autoSpaceDE w:val="0"/>
      <w:autoSpaceDN w:val="0"/>
      <w:adjustRightInd w:val="0"/>
      <w:spacing w:after="120" w:line="240" w:lineRule="auto"/>
      <w:jc w:val="center"/>
    </w:pPr>
    <w:rPr>
      <w:rFonts w:ascii="Times New Roman" w:eastAsia="Calibri" w:hAnsi="Times New Roman" w:cs="Times New Roman"/>
      <w:color w:val="000000"/>
      <w:sz w:val="24"/>
      <w:szCs w:val="23"/>
    </w:rPr>
  </w:style>
  <w:style w:type="paragraph" w:customStyle="1" w:styleId="TitlePage-Font3">
    <w:name w:val="Title Page - Font 3"/>
    <w:basedOn w:val="Normal"/>
    <w:next w:val="Normal"/>
    <w:uiPriority w:val="2"/>
    <w:qFormat/>
    <w:pPr>
      <w:spacing w:after="120" w:line="240" w:lineRule="auto"/>
      <w:jc w:val="center"/>
    </w:pPr>
    <w:rPr>
      <w:rFonts w:ascii="Times New Roman" w:eastAsia="SimSun" w:hAnsi="Times New Roman" w:cs="Times New Roman"/>
      <w:sz w:val="24"/>
      <w:szCs w:val="23"/>
      <w:lang w:val="en-MY"/>
    </w:rPr>
  </w:style>
  <w:style w:type="paragraph" w:customStyle="1" w:styleId="CoverPage-UnimasLogo">
    <w:name w:val="Cover Page - Unimas Logo"/>
    <w:basedOn w:val="Normal"/>
    <w:next w:val="Normal"/>
    <w:uiPriority w:val="1"/>
    <w:qFormat/>
    <w:pPr>
      <w:spacing w:before="851" w:after="600" w:line="240" w:lineRule="auto"/>
      <w:jc w:val="center"/>
    </w:pPr>
    <w:rPr>
      <w:rFonts w:ascii="Times New Roman" w:eastAsia="SimSun" w:hAnsi="Times New Roman" w:cs="Times New Roman"/>
      <w:sz w:val="24"/>
      <w:szCs w:val="24"/>
    </w:rPr>
  </w:style>
  <w:style w:type="paragraph" w:customStyle="1" w:styleId="DeclarationPage-Font1">
    <w:name w:val="Declaration Page - Font 1"/>
    <w:basedOn w:val="Normal"/>
    <w:next w:val="Normal"/>
    <w:uiPriority w:val="4"/>
    <w:qFormat/>
    <w:pPr>
      <w:spacing w:after="120" w:line="360" w:lineRule="auto"/>
      <w:jc w:val="both"/>
    </w:pPr>
    <w:rPr>
      <w:rFonts w:ascii="Times New Roman" w:eastAsia="SimSun" w:hAnsi="Times New Roman" w:cs="Times New Roman"/>
      <w:sz w:val="24"/>
      <w:szCs w:val="24"/>
      <w:lang w:val="en-MY"/>
    </w:rPr>
  </w:style>
  <w:style w:type="paragraph" w:customStyle="1" w:styleId="CaptionforFigure">
    <w:name w:val="Caption for Figure"/>
    <w:basedOn w:val="Caption"/>
    <w:uiPriority w:val="12"/>
    <w:qFormat/>
    <w:pPr>
      <w:tabs>
        <w:tab w:val="center" w:pos="317"/>
      </w:tabs>
      <w:spacing w:before="120" w:after="240" w:line="240" w:lineRule="auto"/>
      <w:jc w:val="center"/>
    </w:pPr>
    <w:rPr>
      <w:rFonts w:ascii="Calibri" w:eastAsia="Calibri" w:hAnsi="Calibri" w:cs="Arial"/>
      <w:b w:val="0"/>
      <w:sz w:val="24"/>
      <w:szCs w:val="18"/>
      <w:lang w:val="en-MY" w:bidi="en-US"/>
    </w:rPr>
  </w:style>
  <w:style w:type="paragraph" w:customStyle="1" w:styleId="cover-ThesisTitle0">
    <w:name w:val="cover - Thesis Title"/>
    <w:basedOn w:val="Cover-Faculty"/>
    <w:next w:val="E-mailSignature"/>
    <w:uiPriority w:val="4"/>
    <w:qFormat/>
    <w:pPr>
      <w:spacing w:after="0"/>
    </w:pPr>
    <w:rPr>
      <w:sz w:val="28"/>
    </w:rPr>
  </w:style>
  <w:style w:type="paragraph" w:customStyle="1" w:styleId="cover-NameDegreeYear0">
    <w:name w:val="cover - Name Degree Year"/>
    <w:basedOn w:val="Cover-Faculty"/>
    <w:uiPriority w:val="4"/>
    <w:qFormat/>
    <w:pPr>
      <w:spacing w:after="0"/>
    </w:pPr>
    <w:rPr>
      <w:sz w:val="24"/>
    </w:rPr>
  </w:style>
  <w:style w:type="character" w:customStyle="1" w:styleId="CaptionforFigureandTableUnimasChar">
    <w:name w:val="Caption for Figure and Table Unimas Char"/>
    <w:basedOn w:val="DefaultParagraphFont"/>
    <w:link w:val="CaptionforFigureandTableUnimas"/>
    <w:uiPriority w:val="4"/>
    <w:qFormat/>
    <w:locked/>
    <w:rPr>
      <w:rFonts w:ascii="Calibri" w:eastAsia="Calibri" w:hAnsi="Calibri" w:cs="Arial"/>
      <w:bCs/>
      <w:sz w:val="24"/>
      <w:szCs w:val="18"/>
      <w:lang w:val="en-MY"/>
    </w:rPr>
  </w:style>
  <w:style w:type="paragraph" w:customStyle="1" w:styleId="CaptionforFigureandTableUnimas">
    <w:name w:val="Caption for Figure and Table Unimas"/>
    <w:basedOn w:val="Caption"/>
    <w:next w:val="Normal"/>
    <w:link w:val="CaptionforFigureandTableUnimasChar"/>
    <w:uiPriority w:val="4"/>
    <w:qFormat/>
    <w:pPr>
      <w:tabs>
        <w:tab w:val="center" w:pos="317"/>
      </w:tabs>
      <w:spacing w:before="120" w:after="360" w:line="240" w:lineRule="auto"/>
      <w:ind w:left="1134" w:hanging="1134"/>
    </w:pPr>
    <w:rPr>
      <w:rFonts w:ascii="Calibri" w:eastAsia="Calibri" w:hAnsi="Calibri" w:cs="Arial"/>
      <w:b w:val="0"/>
      <w:sz w:val="24"/>
      <w:szCs w:val="18"/>
      <w:lang w:val="en-MY"/>
    </w:rPr>
  </w:style>
  <w:style w:type="character" w:customStyle="1" w:styleId="UTMFigureCaptionChar">
    <w:name w:val="UTM Figure Caption Char"/>
    <w:basedOn w:val="DefaultParagraphFont"/>
    <w:link w:val="UTMFigureCaption"/>
    <w:uiPriority w:val="3"/>
    <w:qFormat/>
    <w:locked/>
    <w:rPr>
      <w:rFonts w:ascii="Meiryo" w:eastAsia="Meiryo" w:hAnsi="Meiryo" w:cs="NimbusRomNo9L"/>
      <w:bCs/>
      <w:sz w:val="24"/>
      <w:szCs w:val="24"/>
    </w:rPr>
  </w:style>
  <w:style w:type="paragraph" w:customStyle="1" w:styleId="UTMFigureCaption">
    <w:name w:val="UTM Figure Caption"/>
    <w:basedOn w:val="Normal"/>
    <w:next w:val="Normal"/>
    <w:link w:val="UTMFigureCaptionChar"/>
    <w:uiPriority w:val="3"/>
    <w:qFormat/>
    <w:pPr>
      <w:spacing w:before="567" w:after="120" w:line="360" w:lineRule="auto"/>
      <w:jc w:val="center"/>
    </w:pPr>
    <w:rPr>
      <w:rFonts w:ascii="Meiryo" w:eastAsia="Meiryo" w:hAnsi="Meiryo" w:cs="NimbusRomNo9L"/>
      <w:bCs/>
      <w:sz w:val="24"/>
      <w:szCs w:val="24"/>
    </w:rPr>
  </w:style>
  <w:style w:type="character" w:customStyle="1" w:styleId="SubtleEmphasis10">
    <w:name w:val="Subtle Emphasis1"/>
    <w:uiPriority w:val="19"/>
    <w:qFormat/>
    <w:rPr>
      <w:rFonts w:ascii="Times New Roman" w:hAnsi="Times New Roman" w:cs="Times New Roman" w:hint="default"/>
      <w:i/>
      <w:color w:val="auto"/>
      <w:sz w:val="24"/>
    </w:rPr>
  </w:style>
  <w:style w:type="character" w:customStyle="1" w:styleId="IntenseEmphasis10">
    <w:name w:val="Intense Emphasis1"/>
    <w:basedOn w:val="DefaultParagraphFont"/>
    <w:uiPriority w:val="21"/>
    <w:qFormat/>
    <w:rPr>
      <w:b/>
      <w:i/>
      <w:sz w:val="24"/>
      <w:szCs w:val="24"/>
      <w:u w:val="single"/>
    </w:rPr>
  </w:style>
  <w:style w:type="character" w:customStyle="1" w:styleId="SubtleReference10">
    <w:name w:val="Subtle Reference1"/>
    <w:basedOn w:val="DefaultParagraphFont"/>
    <w:uiPriority w:val="31"/>
    <w:qFormat/>
    <w:rPr>
      <w:sz w:val="24"/>
      <w:szCs w:val="24"/>
      <w:u w:val="single"/>
    </w:rPr>
  </w:style>
  <w:style w:type="character" w:customStyle="1" w:styleId="IntenseReference10">
    <w:name w:val="Intense Reference1"/>
    <w:basedOn w:val="DefaultParagraphFont"/>
    <w:uiPriority w:val="32"/>
    <w:qFormat/>
    <w:rPr>
      <w:b/>
      <w:sz w:val="24"/>
      <w:u w:val="single"/>
    </w:rPr>
  </w:style>
  <w:style w:type="character" w:customStyle="1" w:styleId="pubinfo">
    <w:name w:val="pubinfo"/>
    <w:basedOn w:val="DefaultParagraphFont"/>
    <w:qFormat/>
  </w:style>
  <w:style w:type="table" w:customStyle="1" w:styleId="LightList-Accent31">
    <w:name w:val="Light List - Accent 31"/>
    <w:basedOn w:val="TableNormal"/>
    <w:uiPriority w:val="61"/>
    <w:semiHidden/>
    <w:unhideWhenUsed/>
    <w:qFormat/>
    <w:rPr>
      <w:lang w:eastAsia="en-AU"/>
    </w:rPr>
    <w:tblPr>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16">
    <w:name w:val="列出段落1"/>
    <w:basedOn w:val="Normal"/>
    <w:uiPriority w:val="34"/>
    <w:qFormat/>
    <w:pPr>
      <w:widowControl w:val="0"/>
      <w:spacing w:after="200" w:line="276" w:lineRule="auto"/>
      <w:ind w:left="720"/>
      <w:contextualSpacing/>
      <w:jc w:val="both"/>
    </w:pPr>
    <w:rPr>
      <w:rFonts w:eastAsiaTheme="minorEastAsia"/>
      <w:kern w:val="2"/>
      <w:sz w:val="21"/>
      <w:szCs w:val="24"/>
      <w:lang w:eastAsia="zh-CN"/>
    </w:rPr>
  </w:style>
  <w:style w:type="character" w:customStyle="1" w:styleId="df">
    <w:name w:val="d_f"/>
    <w:basedOn w:val="DefaultParagraphFont"/>
  </w:style>
  <w:style w:type="character" w:customStyle="1" w:styleId="markedcontent">
    <w:name w:val="markedcontent"/>
    <w:basedOn w:val="DefaultParagraphFont"/>
  </w:style>
  <w:style w:type="paragraph" w:customStyle="1" w:styleId="23Kotak-Isi-Justify">
    <w:name w:val="23 Kotak-Isi-Justify"/>
    <w:qFormat/>
    <w:pPr>
      <w:jc w:val="both"/>
    </w:pPr>
    <w:rPr>
      <w:rFonts w:eastAsia="MS Mincho" w:cs="Arial"/>
      <w:szCs w:val="24"/>
    </w:rPr>
  </w:style>
  <w:style w:type="paragraph" w:customStyle="1" w:styleId="E-mail">
    <w:name w:val="E-mail"/>
    <w:next w:val="Abstract"/>
    <w:qFormat/>
    <w:pPr>
      <w:spacing w:after="240"/>
      <w:ind w:left="1418"/>
    </w:pPr>
    <w:rPr>
      <w:rFonts w:ascii="Times" w:eastAsia="Times New Roman" w:hAnsi="Times"/>
      <w:sz w:val="22"/>
      <w:szCs w:val="22"/>
    </w:rPr>
  </w:style>
  <w:style w:type="paragraph" w:customStyle="1" w:styleId="211">
    <w:name w:val="2级1.1"/>
    <w:basedOn w:val="Normal"/>
    <w:next w:val="Normal"/>
    <w:qFormat/>
    <w:pPr>
      <w:keepNext/>
      <w:keepLines/>
      <w:spacing w:afterLines="200" w:after="200" w:line="360" w:lineRule="auto"/>
      <w:ind w:firstLineChars="125" w:firstLine="276"/>
      <w:outlineLvl w:val="1"/>
    </w:pPr>
    <w:rPr>
      <w:rFonts w:ascii="Times New Roman" w:eastAsiaTheme="majorEastAsia" w:hAnsi="Times New Roman" w:cs="Times New Roman"/>
      <w:b/>
      <w:sz w:val="24"/>
      <w:szCs w:val="24"/>
    </w:rPr>
  </w:style>
  <w:style w:type="paragraph" w:customStyle="1" w:styleId="3123">
    <w:name w:val="3级1.2.3"/>
    <w:basedOn w:val="Normal"/>
    <w:next w:val="Normal"/>
    <w:qFormat/>
    <w:pPr>
      <w:keepNext/>
      <w:keepLines/>
      <w:widowControl w:val="0"/>
      <w:spacing w:afterLines="200" w:after="200" w:line="360" w:lineRule="auto"/>
      <w:outlineLvl w:val="3"/>
    </w:pPr>
    <w:rPr>
      <w:rFonts w:ascii="Times New Roman" w:eastAsia="Times New Roman" w:hAnsi="Times New Roman"/>
      <w:b/>
      <w:kern w:val="2"/>
      <w:sz w:val="24"/>
      <w:szCs w:val="26"/>
      <w:lang w:eastAsia="zh-Hans"/>
    </w:rPr>
  </w:style>
  <w:style w:type="character" w:customStyle="1" w:styleId="id-label">
    <w:name w:val="id-label"/>
    <w:basedOn w:val="DefaultParagraphFont"/>
  </w:style>
  <w:style w:type="character" w:customStyle="1" w:styleId="citationsource-journal">
    <w:name w:val="citation_source-journal"/>
    <w:basedOn w:val="DefaultParagraphFont"/>
  </w:style>
  <w:style w:type="paragraph" w:customStyle="1" w:styleId="Char2">
    <w:name w:val="Char"/>
    <w:basedOn w:val="Normal"/>
    <w:pPr>
      <w:spacing w:after="0" w:line="240" w:lineRule="auto"/>
    </w:pPr>
    <w:rPr>
      <w:rFonts w:ascii="Times New Roman" w:eastAsia="Calibri" w:hAnsi="Times New Roman" w:cs="Times New Roman"/>
      <w:sz w:val="24"/>
      <w:szCs w:val="24"/>
      <w:lang w:val="pl-PL" w:eastAsia="pl-PL"/>
    </w:rPr>
  </w:style>
  <w:style w:type="table" w:customStyle="1" w:styleId="MDPI41threelinetable">
    <w:name w:val="MDPI_4.1_three_line_table"/>
    <w:basedOn w:val="TableNormal"/>
    <w:uiPriority w:val="99"/>
    <w:pPr>
      <w:adjustRightInd w:val="0"/>
      <w:snapToGrid w:val="0"/>
      <w:jc w:val="center"/>
    </w:pPr>
    <w:rPr>
      <w:rFonts w:ascii="Palatino Linotype" w:hAnsi="Palatino Linotype"/>
      <w:color w:val="000000"/>
      <w:lang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Para1">
    <w:name w:val="Para 1"/>
    <w:basedOn w:val="Normal"/>
    <w:next w:val="Normal"/>
    <w:link w:val="Para1Char"/>
    <w:autoRedefine/>
    <w:uiPriority w:val="10"/>
    <w:qFormat/>
    <w:pPr>
      <w:spacing w:after="0" w:line="480" w:lineRule="auto"/>
      <w:ind w:firstLine="720"/>
      <w:jc w:val="both"/>
    </w:pPr>
    <w:rPr>
      <w:rFonts w:ascii="Times New Roman" w:eastAsiaTheme="minorEastAsia" w:hAnsi="Times New Roman" w:cs="Times New Roman"/>
      <w:sz w:val="24"/>
      <w:szCs w:val="24"/>
      <w:lang w:val="en-GB"/>
    </w:rPr>
  </w:style>
  <w:style w:type="table" w:customStyle="1" w:styleId="ad">
    <w:name w:val="三线表"/>
    <w:basedOn w:val="TableNormal"/>
    <w:qFormat/>
    <w:rPr>
      <w:rFonts w:eastAsia="Times New Roman"/>
      <w:lang w:val="en-AU" w:eastAsia="en-AU"/>
    </w:rPr>
    <w:tblPr>
      <w:tblBorders>
        <w:top w:val="single" w:sz="12" w:space="0" w:color="auto"/>
        <w:bottom w:val="single" w:sz="12" w:space="0" w:color="auto"/>
      </w:tblBorders>
    </w:tblPr>
    <w:tblStylePr w:type="firstRow">
      <w:tblPr/>
      <w:tcPr>
        <w:tcBorders>
          <w:bottom w:val="single" w:sz="4" w:space="0" w:color="auto"/>
        </w:tcBorders>
      </w:tcPr>
    </w:tblStylePr>
  </w:style>
  <w:style w:type="character" w:customStyle="1" w:styleId="17">
    <w:name w:val="未处理的提及1"/>
    <w:basedOn w:val="DefaultParagraphFont"/>
    <w:uiPriority w:val="99"/>
    <w:semiHidden/>
    <w:unhideWhenUsed/>
    <w:qFormat/>
    <w:rPr>
      <w:color w:val="605E5C"/>
      <w:shd w:val="clear" w:color="auto" w:fill="E1DFDD"/>
    </w:rPr>
  </w:style>
  <w:style w:type="paragraph" w:customStyle="1" w:styleId="AbstractText">
    <w:name w:val="Abstract Text"/>
    <w:basedOn w:val="Normal"/>
    <w:autoRedefine/>
    <w:uiPriority w:val="2"/>
    <w:qFormat/>
    <w:pPr>
      <w:spacing w:after="0" w:line="480" w:lineRule="auto"/>
      <w:ind w:firstLine="720"/>
      <w:jc w:val="both"/>
    </w:pPr>
    <w:rPr>
      <w:rFonts w:ascii="Times New Roman" w:eastAsiaTheme="majorEastAsia" w:hAnsi="Times New Roman" w:cstheme="majorBidi"/>
      <w:kern w:val="28"/>
      <w:sz w:val="24"/>
      <w:szCs w:val="32"/>
      <w:lang w:val="en-GB"/>
    </w:rPr>
  </w:style>
  <w:style w:type="paragraph" w:customStyle="1" w:styleId="Acknowledgementtext">
    <w:name w:val="Acknowledgement text"/>
    <w:basedOn w:val="Normal"/>
    <w:uiPriority w:val="2"/>
    <w:qFormat/>
    <w:pPr>
      <w:spacing w:after="0" w:line="240" w:lineRule="auto"/>
      <w:jc w:val="both"/>
    </w:pPr>
    <w:rPr>
      <w:rFonts w:ascii="Times New Roman" w:eastAsiaTheme="minorHAnsi" w:hAnsi="Times New Roman" w:cs="Times New Roman"/>
      <w:sz w:val="24"/>
      <w:szCs w:val="24"/>
      <w:lang w:val="en-GB"/>
    </w:rPr>
  </w:style>
  <w:style w:type="paragraph" w:customStyle="1" w:styleId="APPENDICESTITLECENTER">
    <w:name w:val="APPENDICES TITLE CENTER"/>
    <w:basedOn w:val="Title"/>
    <w:uiPriority w:val="20"/>
    <w:qFormat/>
    <w:pPr>
      <w:keepNext w:val="0"/>
      <w:keepLines w:val="0"/>
      <w:pageBreakBefore/>
      <w:suppressLineNumbers/>
      <w:spacing w:before="0" w:after="960"/>
      <w:ind w:firstLine="562"/>
      <w:jc w:val="center"/>
      <w:outlineLvl w:val="0"/>
    </w:pPr>
    <w:rPr>
      <w:rFonts w:eastAsiaTheme="majorEastAsia" w:cstheme="majorBidi"/>
      <w:bCs/>
      <w:caps/>
      <w:kern w:val="28"/>
      <w:sz w:val="24"/>
      <w:szCs w:val="32"/>
      <w:lang w:eastAsia="en-US"/>
    </w:rPr>
  </w:style>
  <w:style w:type="paragraph" w:customStyle="1" w:styleId="APPENDIX">
    <w:name w:val="APPENDIX"/>
    <w:basedOn w:val="Normal"/>
    <w:link w:val="APPENDIXChar"/>
    <w:uiPriority w:val="18"/>
    <w:qFormat/>
    <w:pPr>
      <w:spacing w:after="0" w:line="240" w:lineRule="auto"/>
      <w:jc w:val="center"/>
    </w:pPr>
    <w:rPr>
      <w:rFonts w:ascii="Times New Roman" w:eastAsiaTheme="minorEastAsia" w:hAnsi="Times New Roman" w:cs="Times New Roman"/>
      <w:b/>
      <w:sz w:val="24"/>
      <w:szCs w:val="24"/>
      <w:lang w:val="en-GB"/>
    </w:rPr>
  </w:style>
  <w:style w:type="character" w:customStyle="1" w:styleId="APPENDIXChar">
    <w:name w:val="APPENDIX Char"/>
    <w:basedOn w:val="DefaultParagraphFont"/>
    <w:link w:val="APPENDIX"/>
    <w:uiPriority w:val="18"/>
    <w:qFormat/>
    <w:rPr>
      <w:rFonts w:ascii="Times New Roman" w:eastAsiaTheme="minorEastAsia" w:hAnsi="Times New Roman" w:cs="Times New Roman"/>
      <w:b/>
      <w:sz w:val="24"/>
      <w:szCs w:val="24"/>
      <w:lang w:val="en-GB"/>
    </w:rPr>
  </w:style>
  <w:style w:type="paragraph" w:customStyle="1" w:styleId="APPENDIXUSM">
    <w:name w:val="APPENDIX USM"/>
    <w:basedOn w:val="Caption"/>
    <w:next w:val="Normal"/>
    <w:autoRedefine/>
    <w:uiPriority w:val="20"/>
    <w:qFormat/>
    <w:pPr>
      <w:pageBreakBefore/>
      <w:spacing w:after="240" w:line="240" w:lineRule="auto"/>
      <w:ind w:left="1985" w:hanging="1985"/>
      <w:jc w:val="center"/>
      <w:outlineLvl w:val="2"/>
    </w:pPr>
    <w:rPr>
      <w:rFonts w:eastAsia="Calibri" w:cstheme="minorBidi"/>
      <w:sz w:val="24"/>
      <w:szCs w:val="18"/>
      <w:lang w:val="en-GB"/>
    </w:rPr>
  </w:style>
  <w:style w:type="paragraph" w:customStyle="1" w:styleId="CaptionforAppendices0">
    <w:name w:val="Caption for Appendices"/>
    <w:basedOn w:val="Caption"/>
    <w:next w:val="Normal"/>
    <w:autoRedefine/>
    <w:uiPriority w:val="20"/>
    <w:qFormat/>
    <w:pPr>
      <w:spacing w:after="240" w:line="240" w:lineRule="auto"/>
      <w:jc w:val="center"/>
    </w:pPr>
    <w:rPr>
      <w:rFonts w:eastAsia="Calibri" w:cstheme="minorBidi"/>
      <w:caps/>
      <w:sz w:val="24"/>
      <w:szCs w:val="18"/>
      <w:lang w:val="en-GB"/>
    </w:rPr>
  </w:style>
  <w:style w:type="paragraph" w:customStyle="1" w:styleId="CaptionforFigureUSM">
    <w:name w:val="Caption for Figure USM"/>
    <w:basedOn w:val="Normal"/>
    <w:next w:val="Normal"/>
    <w:autoRedefine/>
    <w:uiPriority w:val="11"/>
    <w:qFormat/>
    <w:pPr>
      <w:spacing w:before="240" w:after="0" w:line="240" w:lineRule="auto"/>
      <w:jc w:val="center"/>
    </w:pPr>
    <w:rPr>
      <w:rFonts w:ascii="Times New Roman" w:eastAsiaTheme="minorEastAsia" w:hAnsi="Times New Roman" w:cs="Times New Roman"/>
      <w:sz w:val="24"/>
      <w:szCs w:val="24"/>
      <w:lang w:val="en-GB"/>
    </w:rPr>
  </w:style>
  <w:style w:type="paragraph" w:customStyle="1" w:styleId="CaptionforTableUSM">
    <w:name w:val="Caption for Table USM"/>
    <w:basedOn w:val="Normal"/>
    <w:next w:val="Normal"/>
    <w:autoRedefine/>
    <w:uiPriority w:val="11"/>
    <w:qFormat/>
    <w:pPr>
      <w:keepNext/>
      <w:spacing w:after="240" w:line="240" w:lineRule="auto"/>
      <w:jc w:val="center"/>
    </w:pPr>
    <w:rPr>
      <w:rFonts w:ascii="Times New Roman" w:eastAsiaTheme="minorEastAsia" w:hAnsi="Times New Roman" w:cs="Times New Roman"/>
      <w:sz w:val="24"/>
      <w:szCs w:val="24"/>
      <w:lang w:val="en-GB"/>
    </w:rPr>
  </w:style>
  <w:style w:type="paragraph" w:customStyle="1" w:styleId="CoverPage">
    <w:name w:val="Cover Page"/>
    <w:basedOn w:val="Normal"/>
    <w:next w:val="Normal"/>
    <w:uiPriority w:val="1"/>
    <w:qFormat/>
    <w:pPr>
      <w:spacing w:after="0" w:line="240" w:lineRule="auto"/>
      <w:jc w:val="center"/>
    </w:pPr>
    <w:rPr>
      <w:rFonts w:ascii="Times New Roman" w:eastAsiaTheme="minorEastAsia" w:hAnsi="Times New Roman" w:cs="Times New Roman"/>
      <w:b/>
      <w:bCs/>
      <w:sz w:val="36"/>
      <w:szCs w:val="36"/>
    </w:rPr>
  </w:style>
  <w:style w:type="paragraph" w:customStyle="1" w:styleId="EndNoteandMendelayBibliography">
    <w:name w:val="EndNote and Mendelay Bibliography"/>
    <w:link w:val="EndNoteandMendelayBibliographyChar"/>
    <w:autoRedefine/>
    <w:uiPriority w:val="14"/>
    <w:qFormat/>
    <w:pPr>
      <w:spacing w:line="360" w:lineRule="auto"/>
      <w:ind w:left="720" w:hanging="720"/>
      <w:jc w:val="both"/>
    </w:pPr>
    <w:rPr>
      <w:rFonts w:eastAsiaTheme="minorEastAsia"/>
      <w:sz w:val="24"/>
      <w:szCs w:val="24"/>
      <w:lang w:val="en-MY"/>
    </w:rPr>
  </w:style>
  <w:style w:type="character" w:customStyle="1" w:styleId="EndNoteandMendelayBibliographyChar">
    <w:name w:val="EndNote and Mendelay Bibliography Char"/>
    <w:basedOn w:val="DefaultParagraphFont"/>
    <w:link w:val="EndNoteandMendelayBibliography"/>
    <w:uiPriority w:val="14"/>
    <w:qFormat/>
    <w:rPr>
      <w:rFonts w:ascii="Times New Roman" w:eastAsiaTheme="minorEastAsia" w:hAnsi="Times New Roman" w:cs="Times New Roman"/>
      <w:sz w:val="24"/>
      <w:szCs w:val="24"/>
      <w:lang w:val="en-MY"/>
    </w:rPr>
  </w:style>
  <w:style w:type="character" w:customStyle="1" w:styleId="Para1Char">
    <w:name w:val="Para 1 Char"/>
    <w:basedOn w:val="DefaultParagraphFont"/>
    <w:link w:val="Para1"/>
    <w:uiPriority w:val="10"/>
    <w:qFormat/>
    <w:rPr>
      <w:rFonts w:ascii="Times New Roman" w:eastAsiaTheme="minorEastAsia" w:hAnsi="Times New Roman" w:cs="Times New Roman"/>
      <w:sz w:val="24"/>
      <w:szCs w:val="24"/>
      <w:lang w:val="en-GB"/>
    </w:rPr>
  </w:style>
  <w:style w:type="character" w:customStyle="1" w:styleId="Para1aChar">
    <w:name w:val="Para 1 (a) Char"/>
    <w:basedOn w:val="DefaultParagraphFont"/>
    <w:link w:val="Para1a"/>
    <w:uiPriority w:val="10"/>
    <w:qFormat/>
    <w:rPr>
      <w:rFonts w:ascii="Times New Roman" w:eastAsia="SimSun" w:hAnsi="Times New Roman" w:cs="Times New Roman"/>
      <w:bCs/>
      <w:color w:val="000000" w:themeColor="text1"/>
      <w:sz w:val="24"/>
      <w:lang w:eastAsia="zh-CN"/>
    </w:rPr>
  </w:style>
  <w:style w:type="paragraph" w:customStyle="1" w:styleId="Equation">
    <w:name w:val="Equation"/>
    <w:basedOn w:val="Para1a"/>
    <w:link w:val="EquationChar"/>
    <w:autoRedefine/>
    <w:qFormat/>
    <w:pPr>
      <w:snapToGrid/>
      <w:ind w:firstLine="0"/>
    </w:pPr>
    <w:rPr>
      <w:rFonts w:eastAsia="Cambria Math" w:cs="Cambria Math"/>
      <w:bCs w:val="0"/>
      <w:color w:val="auto"/>
      <w:szCs w:val="24"/>
      <w:lang w:val="en-GB" w:eastAsia="en-US"/>
    </w:rPr>
  </w:style>
  <w:style w:type="paragraph" w:customStyle="1" w:styleId="Figurepositionbody">
    <w:name w:val="Figure position body"/>
    <w:basedOn w:val="Normal"/>
    <w:next w:val="Normal"/>
    <w:autoRedefine/>
    <w:uiPriority w:val="11"/>
    <w:qFormat/>
    <w:pPr>
      <w:keepNext/>
      <w:spacing w:after="0" w:line="240" w:lineRule="auto"/>
      <w:jc w:val="center"/>
    </w:pPr>
    <w:rPr>
      <w:rFonts w:ascii="Times New Roman" w:eastAsiaTheme="minorEastAsia" w:hAnsi="Times New Roman" w:cs="Times New Roman"/>
      <w:sz w:val="24"/>
      <w:szCs w:val="24"/>
    </w:rPr>
  </w:style>
  <w:style w:type="paragraph" w:customStyle="1" w:styleId="Figureatappendices">
    <w:name w:val="Figure at appendices"/>
    <w:basedOn w:val="Figurepositionbody"/>
    <w:uiPriority w:val="20"/>
    <w:qFormat/>
    <w:pPr>
      <w:jc w:val="left"/>
    </w:pPr>
  </w:style>
  <w:style w:type="paragraph" w:customStyle="1" w:styleId="NormalListTableandFigures">
    <w:name w:val="Normal List Table and Figures"/>
    <w:basedOn w:val="Normal"/>
    <w:autoRedefine/>
    <w:uiPriority w:val="4"/>
    <w:semiHidden/>
    <w:qFormat/>
    <w:pPr>
      <w:tabs>
        <w:tab w:val="left" w:pos="1701"/>
        <w:tab w:val="right" w:pos="8335"/>
      </w:tabs>
      <w:spacing w:after="240" w:line="240" w:lineRule="auto"/>
      <w:ind w:left="1701" w:right="1134" w:hanging="1701"/>
      <w:jc w:val="both"/>
    </w:pPr>
    <w:rPr>
      <w:rFonts w:ascii="Times New Roman" w:eastAsiaTheme="minorEastAsia" w:hAnsi="Times New Roman" w:cs="Times New Roman"/>
      <w:sz w:val="24"/>
      <w:szCs w:val="24"/>
      <w:lang w:val="en-GB"/>
    </w:rPr>
  </w:style>
  <w:style w:type="paragraph" w:customStyle="1" w:styleId="Para1b">
    <w:name w:val="Para 1 (b)"/>
    <w:basedOn w:val="Para1"/>
    <w:next w:val="Normal"/>
    <w:link w:val="Para1bChar"/>
    <w:uiPriority w:val="10"/>
    <w:qFormat/>
    <w:pPr>
      <w:spacing w:before="240"/>
    </w:pPr>
  </w:style>
  <w:style w:type="character" w:customStyle="1" w:styleId="Para1bChar">
    <w:name w:val="Para 1 (b) Char"/>
    <w:basedOn w:val="Para1Char"/>
    <w:link w:val="Para1b"/>
    <w:uiPriority w:val="10"/>
    <w:qFormat/>
    <w:rPr>
      <w:rFonts w:ascii="Times New Roman" w:eastAsiaTheme="minorEastAsia" w:hAnsi="Times New Roman" w:cs="Times New Roman"/>
      <w:sz w:val="24"/>
      <w:szCs w:val="24"/>
      <w:lang w:val="en-GB"/>
    </w:rPr>
  </w:style>
  <w:style w:type="paragraph" w:customStyle="1" w:styleId="Reflistformat">
    <w:name w:val="Ref list format"/>
    <w:basedOn w:val="Normal"/>
    <w:uiPriority w:val="10"/>
    <w:qFormat/>
    <w:pPr>
      <w:spacing w:after="240" w:line="240" w:lineRule="auto"/>
      <w:ind w:left="720" w:hanging="720"/>
      <w:jc w:val="both"/>
    </w:pPr>
    <w:rPr>
      <w:rFonts w:ascii="Times New Roman" w:eastAsiaTheme="minorEastAsia" w:hAnsi="Times New Roman" w:cs="Times New Roman"/>
      <w:sz w:val="24"/>
      <w:szCs w:val="24"/>
      <w:lang w:val="en-GB"/>
    </w:rPr>
  </w:style>
  <w:style w:type="paragraph" w:customStyle="1" w:styleId="ReferencesStyle">
    <w:name w:val="References Style"/>
    <w:autoRedefine/>
    <w:uiPriority w:val="20"/>
    <w:qFormat/>
    <w:pPr>
      <w:spacing w:after="480"/>
      <w:ind w:left="720" w:hanging="720"/>
      <w:jc w:val="both"/>
    </w:pPr>
    <w:rPr>
      <w:rFonts w:eastAsiaTheme="majorEastAsia" w:cstheme="majorBidi"/>
      <w:bCs/>
      <w:kern w:val="28"/>
      <w:sz w:val="24"/>
      <w:szCs w:val="32"/>
      <w:lang w:val="en-GB"/>
    </w:rPr>
  </w:style>
  <w:style w:type="paragraph" w:customStyle="1" w:styleId="Style10">
    <w:name w:val="Style10"/>
    <w:basedOn w:val="Normal"/>
    <w:uiPriority w:val="18"/>
    <w:qFormat/>
    <w:pPr>
      <w:spacing w:after="0" w:line="240" w:lineRule="auto"/>
      <w:jc w:val="center"/>
    </w:pPr>
    <w:rPr>
      <w:rFonts w:ascii="Times New Roman" w:eastAsiaTheme="minorEastAsia" w:hAnsi="Times New Roman" w:cs="Times New Roman"/>
      <w:b/>
      <w:sz w:val="24"/>
      <w:szCs w:val="24"/>
      <w:lang w:val="en-GB"/>
    </w:rPr>
  </w:style>
  <w:style w:type="paragraph" w:customStyle="1" w:styleId="SymbolsandAbbreviation">
    <w:name w:val="Symbols and Abbreviation"/>
    <w:basedOn w:val="Normal"/>
    <w:next w:val="Normal"/>
    <w:autoRedefine/>
    <w:uiPriority w:val="4"/>
    <w:qFormat/>
    <w:pPr>
      <w:spacing w:after="0" w:line="240" w:lineRule="auto"/>
    </w:pPr>
    <w:rPr>
      <w:rFonts w:ascii="Times New Roman" w:eastAsia="Times New Roman" w:hAnsi="Times New Roman" w:cs="Times New Roman"/>
      <w:sz w:val="24"/>
      <w:lang w:eastAsia="en-GB"/>
    </w:rPr>
  </w:style>
  <w:style w:type="paragraph" w:customStyle="1" w:styleId="TITLEABSTRACT">
    <w:name w:val="TITLE ABSTRACT"/>
    <w:basedOn w:val="Normal"/>
    <w:next w:val="Normal"/>
    <w:autoRedefine/>
    <w:uiPriority w:val="2"/>
    <w:qFormat/>
    <w:pPr>
      <w:spacing w:after="480" w:line="240" w:lineRule="auto"/>
      <w:jc w:val="center"/>
      <w:outlineLvl w:val="0"/>
    </w:pPr>
    <w:rPr>
      <w:rFonts w:ascii="Times New Roman" w:eastAsiaTheme="majorEastAsia" w:hAnsi="Times New Roman" w:cstheme="majorBidi"/>
      <w:b/>
      <w:bCs/>
      <w:caps/>
      <w:kern w:val="28"/>
      <w:sz w:val="24"/>
      <w:szCs w:val="32"/>
    </w:rPr>
  </w:style>
  <w:style w:type="paragraph" w:customStyle="1" w:styleId="TitleatAbstractPage">
    <w:name w:val="Title at Abstract Page"/>
    <w:basedOn w:val="Title"/>
    <w:next w:val="Title"/>
    <w:autoRedefine/>
    <w:uiPriority w:val="2"/>
    <w:qFormat/>
    <w:pPr>
      <w:keepNext w:val="0"/>
      <w:keepLines w:val="0"/>
      <w:suppressLineNumbers/>
      <w:spacing w:before="0" w:after="480" w:line="480" w:lineRule="auto"/>
      <w:ind w:firstLine="562"/>
      <w:jc w:val="center"/>
    </w:pPr>
    <w:rPr>
      <w:rFonts w:eastAsiaTheme="majorEastAsia" w:cstheme="majorBidi"/>
      <w:bCs/>
      <w:caps/>
      <w:kern w:val="28"/>
      <w:sz w:val="24"/>
      <w:szCs w:val="32"/>
      <w:lang w:eastAsia="en-US"/>
    </w:rPr>
  </w:style>
  <w:style w:type="paragraph" w:customStyle="1" w:styleId="TitlePage">
    <w:name w:val="Title Page"/>
    <w:basedOn w:val="Normal"/>
    <w:next w:val="Normal"/>
    <w:autoRedefine/>
    <w:uiPriority w:val="1"/>
    <w:qFormat/>
    <w:pPr>
      <w:spacing w:after="0" w:line="240" w:lineRule="auto"/>
      <w:jc w:val="center"/>
    </w:pPr>
    <w:rPr>
      <w:rFonts w:ascii="Times New Roman" w:eastAsiaTheme="minorHAnsi" w:hAnsi="Times New Roman" w:cs="Times New Roman"/>
      <w:b/>
      <w:sz w:val="36"/>
      <w:szCs w:val="36"/>
      <w:lang w:val="en-GB"/>
    </w:rPr>
  </w:style>
  <w:style w:type="paragraph" w:customStyle="1" w:styleId="TitlePage2">
    <w:name w:val="Title Page 2"/>
    <w:basedOn w:val="TitlePage"/>
    <w:next w:val="Normal"/>
    <w:uiPriority w:val="1"/>
    <w:qFormat/>
    <w:rPr>
      <w:sz w:val="24"/>
      <w:szCs w:val="24"/>
    </w:rPr>
  </w:style>
  <w:style w:type="character" w:customStyle="1" w:styleId="18">
    <w:name w:val="不明显参考1"/>
    <w:basedOn w:val="DefaultParagraphFont"/>
    <w:uiPriority w:val="31"/>
    <w:qFormat/>
    <w:rPr>
      <w:sz w:val="24"/>
      <w:szCs w:val="24"/>
      <w:u w:val="single"/>
    </w:rPr>
  </w:style>
  <w:style w:type="character" w:customStyle="1" w:styleId="19">
    <w:name w:val="不明显强调1"/>
    <w:uiPriority w:val="19"/>
    <w:qFormat/>
    <w:rPr>
      <w:rFonts w:ascii="Times New Roman" w:hAnsi="Times New Roman"/>
      <w:i/>
      <w:color w:val="auto"/>
      <w:sz w:val="24"/>
    </w:rPr>
  </w:style>
  <w:style w:type="character" w:customStyle="1" w:styleId="1a">
    <w:name w:val="明显参考1"/>
    <w:basedOn w:val="DefaultParagraphFont"/>
    <w:uiPriority w:val="32"/>
    <w:qFormat/>
    <w:rPr>
      <w:b/>
      <w:sz w:val="24"/>
      <w:u w:val="single"/>
    </w:rPr>
  </w:style>
  <w:style w:type="character" w:customStyle="1" w:styleId="1b">
    <w:name w:val="明显强调1"/>
    <w:basedOn w:val="DefaultParagraphFont"/>
    <w:uiPriority w:val="21"/>
    <w:qFormat/>
    <w:rPr>
      <w:b/>
      <w:i/>
      <w:sz w:val="24"/>
      <w:szCs w:val="24"/>
      <w:u w:val="single"/>
    </w:rPr>
  </w:style>
  <w:style w:type="paragraph" w:customStyle="1" w:styleId="1c">
    <w:name w:val="正文1"/>
    <w:qFormat/>
    <w:pPr>
      <w:jc w:val="both"/>
    </w:pPr>
    <w:rPr>
      <w:kern w:val="2"/>
      <w:sz w:val="21"/>
      <w:szCs w:val="21"/>
      <w:lang w:eastAsia="zh-CN"/>
    </w:rPr>
  </w:style>
  <w:style w:type="character" w:customStyle="1" w:styleId="150">
    <w:name w:val="15"/>
    <w:basedOn w:val="DefaultParagraphFont"/>
    <w:qFormat/>
    <w:rPr>
      <w:rFonts w:ascii="Times New Roman" w:eastAsia="DengXian" w:hAnsi="Times New Roman" w:cs="Times New Roman" w:hint="default"/>
      <w:color w:val="2E75B5"/>
      <w:sz w:val="24"/>
      <w:szCs w:val="24"/>
      <w:u w:val="single"/>
    </w:rPr>
  </w:style>
  <w:style w:type="character" w:customStyle="1" w:styleId="20">
    <w:name w:val="未处理的提及2"/>
    <w:basedOn w:val="DefaultParagraphFont"/>
    <w:uiPriority w:val="99"/>
    <w:semiHidden/>
    <w:unhideWhenUsed/>
    <w:qFormat/>
    <w:rPr>
      <w:color w:val="605E5C"/>
      <w:shd w:val="clear" w:color="auto" w:fill="E1DFDD"/>
    </w:rPr>
  </w:style>
  <w:style w:type="table" w:customStyle="1" w:styleId="410">
    <w:name w:val="无格式表格 41"/>
    <w:basedOn w:val="TableNormal"/>
    <w:uiPriority w:val="44"/>
    <w:qFormat/>
    <w:rPr>
      <w:lang w:val="en-AU" w:eastAsia="en-AU"/>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30">
    <w:name w:val="未处理的提及3"/>
    <w:basedOn w:val="DefaultParagraphFont"/>
    <w:uiPriority w:val="99"/>
    <w:semiHidden/>
    <w:unhideWhenUsed/>
    <w:qFormat/>
    <w:rPr>
      <w:color w:val="605E5C"/>
      <w:shd w:val="clear" w:color="auto" w:fill="E1DFDD"/>
    </w:rPr>
  </w:style>
  <w:style w:type="character" w:customStyle="1" w:styleId="42">
    <w:name w:val="未处理的提及4"/>
    <w:basedOn w:val="DefaultParagraphFont"/>
    <w:uiPriority w:val="99"/>
    <w:semiHidden/>
    <w:unhideWhenUsed/>
    <w:qFormat/>
    <w:rPr>
      <w:color w:val="605E5C"/>
      <w:shd w:val="clear" w:color="auto" w:fill="E1DFDD"/>
    </w:rPr>
  </w:style>
  <w:style w:type="character" w:customStyle="1" w:styleId="50">
    <w:name w:val="未处理的提及5"/>
    <w:basedOn w:val="DefaultParagraphFont"/>
    <w:uiPriority w:val="99"/>
    <w:semiHidden/>
    <w:unhideWhenUsed/>
    <w:qFormat/>
    <w:rPr>
      <w:color w:val="605E5C"/>
      <w:shd w:val="clear" w:color="auto" w:fill="E1DFDD"/>
    </w:rPr>
  </w:style>
  <w:style w:type="character" w:customStyle="1" w:styleId="60">
    <w:name w:val="未处理的提及6"/>
    <w:basedOn w:val="DefaultParagraphFont"/>
    <w:uiPriority w:val="99"/>
    <w:semiHidden/>
    <w:unhideWhenUsed/>
    <w:qFormat/>
    <w:rPr>
      <w:color w:val="605E5C"/>
      <w:shd w:val="clear" w:color="auto" w:fill="E1DFDD"/>
    </w:rPr>
  </w:style>
  <w:style w:type="character" w:customStyle="1" w:styleId="70">
    <w:name w:val="未处理的提及7"/>
    <w:basedOn w:val="DefaultParagraphFont"/>
    <w:uiPriority w:val="99"/>
    <w:semiHidden/>
    <w:unhideWhenUsed/>
    <w:qFormat/>
    <w:rPr>
      <w:color w:val="605E5C"/>
      <w:shd w:val="clear" w:color="auto" w:fill="E1DFDD"/>
    </w:rPr>
  </w:style>
  <w:style w:type="character" w:customStyle="1" w:styleId="transsent">
    <w:name w:val="transsent"/>
    <w:basedOn w:val="DefaultParagraphFont"/>
  </w:style>
  <w:style w:type="paragraph" w:customStyle="1" w:styleId="WPSOfficeManualTable2">
    <w:name w:val="WPSOffice Manual Table 2"/>
    <w:qFormat/>
    <w:pPr>
      <w:ind w:leftChars="200" w:left="200"/>
    </w:pPr>
  </w:style>
  <w:style w:type="character" w:customStyle="1" w:styleId="collab">
    <w:name w:val="collab"/>
    <w:basedOn w:val="DefaultParagraphFont"/>
  </w:style>
  <w:style w:type="character" w:customStyle="1" w:styleId="referenceyear">
    <w:name w:val="reference__year"/>
    <w:basedOn w:val="DefaultParagraphFont"/>
  </w:style>
  <w:style w:type="character" w:customStyle="1" w:styleId="referencesource">
    <w:name w:val="reference__source"/>
    <w:basedOn w:val="DefaultParagraphFont"/>
  </w:style>
  <w:style w:type="character" w:customStyle="1" w:styleId="referencepublisher-name">
    <w:name w:val="reference__publisher-name"/>
    <w:basedOn w:val="DefaultParagraphFont"/>
  </w:style>
  <w:style w:type="character" w:customStyle="1" w:styleId="referencepublisher-loc">
    <w:name w:val="reference__publisher-loc"/>
    <w:basedOn w:val="DefaultParagraphFont"/>
  </w:style>
  <w:style w:type="character" w:customStyle="1" w:styleId="ls3">
    <w:name w:val="ls3"/>
    <w:basedOn w:val="DefaultParagraphFont"/>
  </w:style>
  <w:style w:type="character" w:customStyle="1" w:styleId="ls0">
    <w:name w:val="ls0"/>
    <w:basedOn w:val="DefaultParagraphFont"/>
  </w:style>
  <w:style w:type="character" w:customStyle="1" w:styleId="Para4linesChar">
    <w:name w:val="Para 4 lines Char"/>
    <w:basedOn w:val="DefaultParagraphFont"/>
    <w:link w:val="Para4lines"/>
    <w:uiPriority w:val="10"/>
    <w:rPr>
      <w:rFonts w:ascii="Helvetica" w:eastAsia="SimSun" w:hAnsi="Helvetica" w:cs="Times New Roman"/>
      <w:color w:val="000000"/>
      <w:spacing w:val="15"/>
      <w:szCs w:val="24"/>
      <w:lang w:eastAsia="zh-CN"/>
    </w:rPr>
  </w:style>
  <w:style w:type="paragraph" w:customStyle="1" w:styleId="BThesisTitle">
    <w:name w:val="B Thesis Title"/>
    <w:link w:val="BThesisTitleChar"/>
    <w:autoRedefine/>
    <w:uiPriority w:val="1"/>
    <w:qFormat/>
    <w:pPr>
      <w:jc w:val="center"/>
    </w:pPr>
    <w:rPr>
      <w:rFonts w:eastAsia="Times New Roman"/>
      <w:b/>
      <w:sz w:val="24"/>
      <w:szCs w:val="24"/>
      <w:lang w:val="en-MY"/>
    </w:rPr>
  </w:style>
  <w:style w:type="character" w:customStyle="1" w:styleId="BThesisTitleChar">
    <w:name w:val="B Thesis Title Char"/>
    <w:link w:val="BThesisTitle"/>
    <w:uiPriority w:val="1"/>
    <w:rPr>
      <w:rFonts w:ascii="Times New Roman" w:eastAsia="Times New Roman" w:hAnsi="Times New Roman" w:cs="Times New Roman"/>
      <w:b/>
      <w:sz w:val="24"/>
      <w:szCs w:val="24"/>
      <w:lang w:val="en-MY"/>
    </w:rPr>
  </w:style>
  <w:style w:type="paragraph" w:customStyle="1" w:styleId="CaptionforFigurePlatesText">
    <w:name w:val="Caption for Figure/Plates (Text)"/>
    <w:basedOn w:val="Normal"/>
    <w:next w:val="Normal"/>
    <w:link w:val="CaptionforFigurePlatesTextChar"/>
    <w:autoRedefine/>
    <w:uiPriority w:val="10"/>
    <w:qFormat/>
    <w:pPr>
      <w:spacing w:after="0" w:line="240" w:lineRule="auto"/>
      <w:jc w:val="both"/>
    </w:pPr>
    <w:rPr>
      <w:rFonts w:ascii="Calibri" w:eastAsia="Times New Roman" w:hAnsi="Calibri" w:cs="Calibri"/>
      <w:bCs/>
      <w:sz w:val="24"/>
      <w:szCs w:val="24"/>
      <w:lang w:val="en-GB"/>
    </w:rPr>
  </w:style>
  <w:style w:type="character" w:customStyle="1" w:styleId="CaptionforFigurePlatesTextChar">
    <w:name w:val="Caption for Figure/Plates (Text) Char"/>
    <w:link w:val="CaptionforFigurePlatesText"/>
    <w:uiPriority w:val="10"/>
    <w:rPr>
      <w:rFonts w:ascii="Calibri" w:eastAsia="Times New Roman" w:hAnsi="Calibri" w:cs="Calibri"/>
      <w:bCs/>
      <w:sz w:val="24"/>
      <w:szCs w:val="24"/>
      <w:lang w:val="en-GB"/>
    </w:rPr>
  </w:style>
  <w:style w:type="paragraph" w:customStyle="1" w:styleId="BibliographyEndNoteMendeleyOLD">
    <w:name w:val="Bibliography EndNote &amp; Mendeley (OLD)"/>
    <w:link w:val="BibliographyEndNoteMendeleyOLDChar"/>
    <w:autoRedefine/>
    <w:uiPriority w:val="10"/>
    <w:qFormat/>
    <w:pPr>
      <w:ind w:left="720" w:hanging="720"/>
      <w:jc w:val="both"/>
    </w:pPr>
    <w:rPr>
      <w:rFonts w:ascii="Arial" w:eastAsia="Times New Roman" w:hAnsi="Arial" w:cs="Arial"/>
      <w:color w:val="000000"/>
      <w:shd w:val="clear" w:color="auto" w:fill="FFFFFF"/>
      <w:lang w:val="en-MY"/>
    </w:rPr>
  </w:style>
  <w:style w:type="character" w:customStyle="1" w:styleId="BibliographyEndNoteMendeleyOLDChar">
    <w:name w:val="Bibliography EndNote &amp; Mendeley (OLD) Char"/>
    <w:link w:val="BibliographyEndNoteMendeleyOLD"/>
    <w:uiPriority w:val="10"/>
    <w:rPr>
      <w:rFonts w:ascii="Arial" w:eastAsia="Times New Roman" w:hAnsi="Arial" w:cs="Arial"/>
      <w:color w:val="000000"/>
      <w:sz w:val="20"/>
      <w:szCs w:val="20"/>
      <w:lang w:val="en-MY"/>
    </w:rPr>
  </w:style>
  <w:style w:type="paragraph" w:customStyle="1" w:styleId="Titleofthepaper">
    <w:name w:val="Title of the paper"/>
    <w:qFormat/>
    <w:pPr>
      <w:jc w:val="center"/>
    </w:pPr>
    <w:rPr>
      <w:rFonts w:ascii="Arial" w:eastAsia="Times New Roman" w:hAnsi="Arial"/>
      <w:b/>
      <w:sz w:val="28"/>
    </w:rPr>
  </w:style>
  <w:style w:type="paragraph" w:customStyle="1" w:styleId="1d">
    <w:name w:val="正文缩进1"/>
    <w:basedOn w:val="Normal"/>
    <w:qFormat/>
    <w:pPr>
      <w:widowControl w:val="0"/>
      <w:spacing w:after="0" w:line="240" w:lineRule="auto"/>
      <w:ind w:firstLineChars="200" w:firstLine="200"/>
      <w:jc w:val="both"/>
    </w:pPr>
    <w:rPr>
      <w:rFonts w:eastAsiaTheme="minorEastAsia"/>
      <w:kern w:val="2"/>
      <w:sz w:val="21"/>
      <w:szCs w:val="24"/>
      <w:lang w:eastAsia="zh-CN"/>
    </w:rPr>
  </w:style>
  <w:style w:type="paragraph" w:customStyle="1" w:styleId="w">
    <w:name w:val="w"/>
    <w:basedOn w:val="Normal"/>
    <w:next w:val="Normal"/>
    <w:qFormat/>
    <w:pPr>
      <w:widowControl w:val="0"/>
      <w:snapToGrid w:val="0"/>
      <w:spacing w:after="0" w:line="240" w:lineRule="auto"/>
      <w:jc w:val="both"/>
    </w:pPr>
    <w:rPr>
      <w:rFonts w:ascii="Times New Roman" w:eastAsiaTheme="minorEastAsia" w:hAnsi="Times New Roman"/>
      <w:color w:val="000000"/>
      <w:kern w:val="2"/>
      <w:sz w:val="24"/>
      <w:szCs w:val="24"/>
      <w:lang w:eastAsia="zh-CN"/>
    </w:rPr>
  </w:style>
  <w:style w:type="paragraph" w:customStyle="1" w:styleId="msonospacing0">
    <w:name w:val="msonospacing"/>
    <w:basedOn w:val="Normal"/>
    <w:autoRedefine/>
    <w:qFormat/>
    <w:pPr>
      <w:spacing w:after="0" w:line="360" w:lineRule="auto"/>
      <w:jc w:val="both"/>
    </w:pPr>
    <w:rPr>
      <w:rFonts w:ascii="Times New Roman" w:eastAsia="SimSun" w:hAnsi="Times New Roman" w:cs="Times New Roman"/>
      <w:bCs/>
      <w:sz w:val="24"/>
      <w:szCs w:val="24"/>
      <w:lang w:eastAsia="zh-CN"/>
    </w:rPr>
  </w:style>
  <w:style w:type="paragraph" w:customStyle="1" w:styleId="whitespace-pre-wrap">
    <w:name w:val="whitespace-pre-wrap"/>
    <w:basedOn w:val="Normal"/>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pureblacktext">
    <w:name w:val="pureblacktext"/>
    <w:basedOn w:val="DefaultParagraphFont"/>
  </w:style>
  <w:style w:type="character" w:customStyle="1" w:styleId="ref-lnk">
    <w:name w:val="ref-lnk"/>
    <w:basedOn w:val="DefaultParagraphFont"/>
  </w:style>
  <w:style w:type="character" w:customStyle="1" w:styleId="off-screen">
    <w:name w:val="off-screen"/>
    <w:basedOn w:val="DefaultParagraphFont"/>
  </w:style>
  <w:style w:type="paragraph" w:customStyle="1" w:styleId="COVERANDMAINFONT">
    <w:name w:val="COVER AND MAIN FONT"/>
    <w:basedOn w:val="Normal"/>
    <w:uiPriority w:val="4"/>
    <w:qFormat/>
    <w:pPr>
      <w:spacing w:before="240" w:after="240" w:line="360" w:lineRule="auto"/>
      <w:jc w:val="center"/>
    </w:pPr>
    <w:rPr>
      <w:rFonts w:ascii="Times New Roman" w:eastAsia="Calibri" w:hAnsi="Times New Roman" w:cs="Times New Roman"/>
      <w:sz w:val="24"/>
    </w:rPr>
  </w:style>
  <w:style w:type="table" w:customStyle="1" w:styleId="TableUUM1">
    <w:name w:val="Table UUM1"/>
    <w:basedOn w:val="TableNormal"/>
    <w:uiPriority w:val="59"/>
    <w:rPr>
      <w:rFonts w:ascii="Calibri" w:eastAsia="Calibri" w:hAnsi="Calibri" w:cs="Arial"/>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جدول شبكة 4 - تمييز 51"/>
    <w:basedOn w:val="TableNormal"/>
    <w:uiPriority w:val="49"/>
    <w:qFormat/>
    <w:pPr>
      <w:bidi/>
    </w:pPr>
    <w:rPr>
      <w:lang w:val="en-GB" w:eastAsia="en-GB"/>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1e">
    <w:name w:val="إشارة لم يتم حلها1"/>
    <w:basedOn w:val="DefaultParagraphFont"/>
    <w:uiPriority w:val="99"/>
    <w:semiHidden/>
    <w:unhideWhenUsed/>
    <w:qFormat/>
    <w:rPr>
      <w:color w:val="605E5C"/>
      <w:shd w:val="clear" w:color="auto" w:fill="E1DFDD"/>
    </w:rPr>
  </w:style>
  <w:style w:type="table" w:customStyle="1" w:styleId="6-31">
    <w:name w:val="جدول قائمة 6 ملون - تمييز 31"/>
    <w:basedOn w:val="TableNormal"/>
    <w:uiPriority w:val="51"/>
    <w:qFormat/>
    <w:rPr>
      <w:color w:val="7B7B7B"/>
      <w:lang w:val="en-GB" w:eastAsia="en-GB"/>
    </w:rPr>
    <w:tblPr>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22">
    <w:name w:val="إشارة لم يتم حلها2"/>
    <w:basedOn w:val="DefaultParagraphFont"/>
    <w:uiPriority w:val="99"/>
    <w:semiHidden/>
    <w:unhideWhenUsed/>
    <w:qFormat/>
    <w:rPr>
      <w:color w:val="605E5C"/>
      <w:shd w:val="clear" w:color="auto" w:fill="E1DFDD"/>
    </w:rPr>
  </w:style>
  <w:style w:type="character" w:customStyle="1" w:styleId="32">
    <w:name w:val="إشارة لم يتم حلها3"/>
    <w:basedOn w:val="DefaultParagraphFont"/>
    <w:uiPriority w:val="99"/>
    <w:semiHidden/>
    <w:unhideWhenUsed/>
    <w:qFormat/>
    <w:rPr>
      <w:color w:val="605E5C"/>
      <w:shd w:val="clear" w:color="auto" w:fill="E1DFDD"/>
    </w:rPr>
  </w:style>
  <w:style w:type="paragraph" w:customStyle="1" w:styleId="1f">
    <w:name w:val="列表段落1"/>
    <w:basedOn w:val="Normal"/>
    <w:qFormat/>
    <w:pPr>
      <w:ind w:left="720"/>
      <w:contextualSpacing/>
    </w:pPr>
    <w:rPr>
      <w:rFonts w:ascii="Times New Roman" w:eastAsia="SimSun" w:hAnsi="Times New Roman" w:cs="SimSun"/>
      <w:sz w:val="24"/>
    </w:rPr>
  </w:style>
  <w:style w:type="table" w:customStyle="1" w:styleId="1f0">
    <w:name w:val="网格型浅色1"/>
    <w:basedOn w:val="Table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11111">
    <w:name w:val="Light Shading11111"/>
    <w:basedOn w:val="TableNormal"/>
    <w:uiPriority w:val="60"/>
    <w:pPr>
      <w:jc w:val="both"/>
    </w:pPr>
    <w:rPr>
      <w:rFonts w:eastAsiaTheme="minorHAnsi"/>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lang w:val="en-GB"/>
    </w:rPr>
  </w:style>
  <w:style w:type="character" w:customStyle="1" w:styleId="ClosingChar">
    <w:name w:val="Closing Char"/>
    <w:basedOn w:val="DefaultParagraphFont"/>
    <w:link w:val="Closing"/>
    <w:rPr>
      <w:rFonts w:ascii="Times New Roman" w:eastAsia="Times New Roman" w:hAnsi="Times New Roman" w:cs="Times New Roman"/>
      <w:sz w:val="24"/>
      <w:szCs w:val="20"/>
      <w:lang w:val="en-GB"/>
    </w:rPr>
  </w:style>
  <w:style w:type="character" w:customStyle="1" w:styleId="MacroTextChar">
    <w:name w:val="Macro Text Char"/>
    <w:basedOn w:val="DefaultParagraphFont"/>
    <w:link w:val="MacroText"/>
    <w:semiHidden/>
    <w:qFormat/>
    <w:rPr>
      <w:rFonts w:ascii="Courier New" w:eastAsia="Times New Roman" w:hAnsi="Courier New" w:cs="Times New Roman"/>
      <w:sz w:val="20"/>
      <w:szCs w:val="20"/>
      <w:lang w:val="en-GB"/>
    </w:rPr>
  </w:style>
  <w:style w:type="character" w:customStyle="1" w:styleId="MessageHeaderChar">
    <w:name w:val="Message Header Char"/>
    <w:basedOn w:val="DefaultParagraphFont"/>
    <w:link w:val="MessageHeader"/>
    <w:qFormat/>
    <w:rPr>
      <w:rFonts w:ascii="Arial" w:eastAsia="Times New Roman" w:hAnsi="Arial" w:cs="Times New Roman"/>
      <w:sz w:val="24"/>
      <w:szCs w:val="20"/>
      <w:shd w:val="pct20" w:color="auto" w:fill="auto"/>
      <w:lang w:val="en-GB"/>
    </w:rPr>
  </w:style>
  <w:style w:type="character" w:customStyle="1" w:styleId="NoteHeadingChar">
    <w:name w:val="Note Heading Char"/>
    <w:basedOn w:val="DefaultParagraphFont"/>
    <w:link w:val="NoteHeading"/>
    <w:qFormat/>
    <w:rPr>
      <w:rFonts w:ascii="Times New Roman" w:eastAsia="Times New Roman" w:hAnsi="Times New Roman" w:cs="Times New Roman"/>
      <w:sz w:val="24"/>
      <w:szCs w:val="20"/>
      <w:lang w:val="en-GB"/>
    </w:rPr>
  </w:style>
  <w:style w:type="character" w:customStyle="1" w:styleId="SalutationChar">
    <w:name w:val="Salutation Char"/>
    <w:basedOn w:val="DefaultParagraphFont"/>
    <w:link w:val="Salutation"/>
    <w:qFormat/>
    <w:rPr>
      <w:rFonts w:ascii="Times New Roman" w:eastAsia="Times New Roman" w:hAnsi="Times New Roman" w:cs="Times New Roman"/>
      <w:sz w:val="24"/>
      <w:szCs w:val="20"/>
      <w:lang w:val="en-GB"/>
    </w:rPr>
  </w:style>
  <w:style w:type="character" w:customStyle="1" w:styleId="SignatureChar">
    <w:name w:val="Signature Char"/>
    <w:basedOn w:val="DefaultParagraphFont"/>
    <w:link w:val="Signature"/>
    <w:qFormat/>
    <w:rPr>
      <w:rFonts w:ascii="Times New Roman" w:eastAsia="Times New Roman" w:hAnsi="Times New Roman" w:cs="Times New Roman"/>
      <w:sz w:val="24"/>
      <w:szCs w:val="20"/>
      <w:lang w:val="en-GB"/>
    </w:rPr>
  </w:style>
  <w:style w:type="paragraph" w:customStyle="1" w:styleId="Authorname">
    <w:name w:val="Author name"/>
    <w:qFormat/>
    <w:pPr>
      <w:spacing w:before="240"/>
      <w:jc w:val="center"/>
    </w:pPr>
    <w:rPr>
      <w:rFonts w:eastAsia="Times New Roman"/>
      <w:b/>
      <w:sz w:val="24"/>
    </w:rPr>
  </w:style>
  <w:style w:type="paragraph" w:customStyle="1" w:styleId="AuthorAffilliation">
    <w:name w:val="Author Affilliation"/>
    <w:pPr>
      <w:jc w:val="center"/>
    </w:pPr>
    <w:rPr>
      <w:rFonts w:eastAsia="Times New Roman"/>
      <w:sz w:val="24"/>
    </w:rPr>
  </w:style>
  <w:style w:type="paragraph" w:customStyle="1" w:styleId="FigureCaption0">
    <w:name w:val="Figure_Caption"/>
    <w:basedOn w:val="Normal"/>
    <w:qFormat/>
    <w:pPr>
      <w:spacing w:before="120" w:after="120" w:line="240" w:lineRule="auto"/>
      <w:jc w:val="center"/>
    </w:pPr>
    <w:rPr>
      <w:rFonts w:ascii="Times New Roman" w:eastAsia="Times New Roman" w:hAnsi="Times New Roman" w:cs="Times New Roman"/>
      <w:iCs/>
      <w:sz w:val="20"/>
      <w:szCs w:val="24"/>
      <w:lang w:val="en-GB"/>
    </w:rPr>
  </w:style>
  <w:style w:type="paragraph" w:customStyle="1" w:styleId="StlusAuthorEltte6pt">
    <w:name w:val="Stílus Author + Előtte:  6 pt"/>
    <w:basedOn w:val="Normal"/>
    <w:qFormat/>
    <w:pPr>
      <w:spacing w:before="120" w:after="40" w:line="240" w:lineRule="auto"/>
      <w:jc w:val="center"/>
    </w:pPr>
    <w:rPr>
      <w:rFonts w:ascii="Times New Roman" w:eastAsia="Times New Roman" w:hAnsi="Times New Roman" w:cs="Times New Roman"/>
      <w:spacing w:val="-2"/>
      <w:sz w:val="24"/>
      <w:szCs w:val="24"/>
      <w:lang w:val="ms-MY"/>
    </w:rPr>
  </w:style>
  <w:style w:type="paragraph" w:customStyle="1" w:styleId="IEEEAbstractHeading">
    <w:name w:val="IEEE Abstract Heading"/>
    <w:basedOn w:val="IEEEAbtract"/>
    <w:next w:val="IEEEAbtract"/>
    <w:link w:val="IEEEAbstractHeadingChar"/>
    <w:qFormat/>
    <w:rPr>
      <w:i/>
    </w:rPr>
  </w:style>
  <w:style w:type="paragraph" w:customStyle="1" w:styleId="IEEEAbtract">
    <w:name w:val="IEEE Abtract"/>
    <w:basedOn w:val="Normal"/>
    <w:next w:val="Normal"/>
    <w:link w:val="IEEEAbtractChar"/>
    <w:qFormat/>
    <w:pPr>
      <w:adjustRightInd w:val="0"/>
      <w:snapToGrid w:val="0"/>
      <w:spacing w:after="0" w:line="240" w:lineRule="auto"/>
      <w:jc w:val="both"/>
    </w:pPr>
    <w:rPr>
      <w:rFonts w:ascii="Times New Roman" w:eastAsia="SimSun" w:hAnsi="Times New Roman" w:cs="Times New Roman"/>
      <w:b/>
      <w:sz w:val="18"/>
      <w:szCs w:val="24"/>
      <w:lang w:val="en-GB" w:eastAsia="en-GB"/>
    </w:rPr>
  </w:style>
  <w:style w:type="character" w:customStyle="1" w:styleId="IEEEAbtractChar">
    <w:name w:val="IEEE Abtract Char"/>
    <w:link w:val="IEEEAbtract"/>
    <w:qFormat/>
    <w:rPr>
      <w:rFonts w:ascii="Times New Roman" w:eastAsia="SimSun" w:hAnsi="Times New Roman" w:cs="Times New Roman"/>
      <w:b/>
      <w:sz w:val="18"/>
      <w:szCs w:val="24"/>
      <w:lang w:val="en-GB" w:eastAsia="en-GB"/>
    </w:rPr>
  </w:style>
  <w:style w:type="character" w:customStyle="1" w:styleId="IEEEAbstractHeadingChar">
    <w:name w:val="IEEE Abstract Heading Char"/>
    <w:link w:val="IEEEAbstractHeading"/>
    <w:qFormat/>
    <w:rPr>
      <w:rFonts w:ascii="Times New Roman" w:eastAsia="SimSun" w:hAnsi="Times New Roman" w:cs="Times New Roman"/>
      <w:b/>
      <w:i/>
      <w:sz w:val="18"/>
      <w:szCs w:val="24"/>
      <w:lang w:val="en-GB" w:eastAsia="en-GB"/>
    </w:rPr>
  </w:style>
  <w:style w:type="paragraph" w:customStyle="1" w:styleId="Els-acknowledgement">
    <w:name w:val="Els-acknowledgement"/>
    <w:next w:val="Els-body-text"/>
    <w:qFormat/>
    <w:pPr>
      <w:keepNext/>
      <w:spacing w:before="480" w:after="240"/>
    </w:pPr>
    <w:rPr>
      <w:rFonts w:eastAsia="Times New Roman"/>
      <w:b/>
      <w:lang w:eastAsia="en-GB"/>
    </w:rPr>
  </w:style>
  <w:style w:type="paragraph" w:customStyle="1" w:styleId="Els-reference">
    <w:name w:val="Els-reference"/>
    <w:qFormat/>
    <w:pPr>
      <w:tabs>
        <w:tab w:val="left" w:pos="312"/>
      </w:tabs>
      <w:spacing w:line="200" w:lineRule="exact"/>
      <w:ind w:left="312" w:hanging="312"/>
    </w:pPr>
    <w:rPr>
      <w:rFonts w:eastAsia="Times New Roman"/>
      <w:sz w:val="16"/>
      <w:lang w:val="en-GB" w:eastAsia="en-GB"/>
    </w:rPr>
  </w:style>
  <w:style w:type="paragraph" w:customStyle="1" w:styleId="Els-reference-head">
    <w:name w:val="Els-reference-head"/>
    <w:next w:val="Els-reference"/>
    <w:qFormat/>
    <w:pPr>
      <w:keepNext/>
      <w:spacing w:before="480" w:after="240" w:line="240" w:lineRule="exact"/>
    </w:pPr>
    <w:rPr>
      <w:rFonts w:eastAsia="Times New Roman"/>
      <w:b/>
      <w:lang w:eastAsia="en-GB"/>
    </w:rPr>
  </w:style>
  <w:style w:type="paragraph" w:customStyle="1" w:styleId="heading20">
    <w:name w:val="heading2"/>
    <w:basedOn w:val="Normal"/>
    <w:next w:val="p1a"/>
    <w:qFormat/>
    <w:pPr>
      <w:keepNext/>
      <w:keepLines/>
      <w:tabs>
        <w:tab w:val="left" w:pos="567"/>
      </w:tabs>
      <w:suppressAutoHyphens/>
      <w:overflowPunct w:val="0"/>
      <w:autoSpaceDE w:val="0"/>
      <w:autoSpaceDN w:val="0"/>
      <w:adjustRightInd w:val="0"/>
      <w:spacing w:before="360" w:line="240" w:lineRule="atLeast"/>
      <w:ind w:left="567" w:hanging="567"/>
      <w:textAlignment w:val="baseline"/>
      <w:outlineLvl w:val="1"/>
    </w:pPr>
    <w:rPr>
      <w:rFonts w:ascii="Times New Roman" w:eastAsia="Times New Roman" w:hAnsi="Times New Roman" w:cs="Times New Roman"/>
      <w:b/>
      <w:sz w:val="20"/>
      <w:szCs w:val="20"/>
    </w:rPr>
  </w:style>
  <w:style w:type="character" w:customStyle="1" w:styleId="heading30">
    <w:name w:val="heading3"/>
    <w:rPr>
      <w:b/>
    </w:rPr>
  </w:style>
  <w:style w:type="paragraph" w:customStyle="1" w:styleId="referenceitem">
    <w:name w:val="referenceitem"/>
    <w:basedOn w:val="Normal"/>
    <w:qFormat/>
    <w:pPr>
      <w:numPr>
        <w:numId w:val="10"/>
      </w:numPr>
      <w:overflowPunct w:val="0"/>
      <w:autoSpaceDE w:val="0"/>
      <w:autoSpaceDN w:val="0"/>
      <w:adjustRightInd w:val="0"/>
      <w:spacing w:after="0" w:line="220" w:lineRule="atLeast"/>
      <w:jc w:val="both"/>
      <w:textAlignment w:val="baseline"/>
    </w:pPr>
    <w:rPr>
      <w:rFonts w:ascii="Times New Roman" w:eastAsia="Times New Roman" w:hAnsi="Times New Roman" w:cs="Times New Roman"/>
      <w:sz w:val="18"/>
      <w:szCs w:val="20"/>
    </w:rPr>
  </w:style>
  <w:style w:type="paragraph" w:customStyle="1" w:styleId="papertitle">
    <w:name w:val="papertitle"/>
    <w:basedOn w:val="Normal"/>
    <w:qFormat/>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cs="Times New Roman"/>
      <w:b/>
      <w:sz w:val="28"/>
      <w:szCs w:val="20"/>
    </w:rPr>
  </w:style>
  <w:style w:type="character" w:customStyle="1" w:styleId="ORCID">
    <w:name w:val="ORCID"/>
    <w:qFormat/>
    <w:rPr>
      <w:position w:val="0"/>
      <w:vertAlign w:val="superscript"/>
    </w:rPr>
  </w:style>
  <w:style w:type="paragraph" w:customStyle="1" w:styleId="m-0">
    <w:name w:val="m-0"/>
    <w:basedOn w:val="Normal"/>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papertitle0">
    <w:name w:val="paper title"/>
    <w:pPr>
      <w:spacing w:after="120"/>
      <w:jc w:val="center"/>
    </w:pPr>
    <w:rPr>
      <w:rFonts w:eastAsia="MS Mincho"/>
      <w:sz w:val="48"/>
      <w:szCs w:val="48"/>
    </w:rPr>
  </w:style>
  <w:style w:type="paragraph" w:customStyle="1" w:styleId="bulletitem">
    <w:name w:val="bulletitem"/>
    <w:basedOn w:val="Normal"/>
    <w:pPr>
      <w:numPr>
        <w:numId w:val="11"/>
      </w:numPr>
      <w:overflowPunct w:val="0"/>
      <w:autoSpaceDE w:val="0"/>
      <w:autoSpaceDN w:val="0"/>
      <w:adjustRightInd w:val="0"/>
      <w:spacing w:before="160" w:line="360" w:lineRule="auto"/>
      <w:contextualSpacing/>
      <w:jc w:val="both"/>
      <w:textAlignment w:val="baseline"/>
    </w:pPr>
    <w:rPr>
      <w:rFonts w:ascii="Calibri" w:eastAsia="Times New Roman" w:hAnsi="Calibri" w:cs="Times New Roman"/>
      <w:sz w:val="24"/>
      <w:szCs w:val="20"/>
    </w:rPr>
  </w:style>
  <w:style w:type="paragraph" w:customStyle="1" w:styleId="dashitem">
    <w:name w:val="dashitem"/>
    <w:basedOn w:val="Normal"/>
    <w:pPr>
      <w:numPr>
        <w:numId w:val="12"/>
      </w:numPr>
      <w:overflowPunct w:val="0"/>
      <w:autoSpaceDE w:val="0"/>
      <w:autoSpaceDN w:val="0"/>
      <w:adjustRightInd w:val="0"/>
      <w:spacing w:before="160" w:line="360" w:lineRule="auto"/>
      <w:contextualSpacing/>
      <w:jc w:val="both"/>
      <w:textAlignment w:val="baseline"/>
    </w:pPr>
    <w:rPr>
      <w:rFonts w:ascii="Calibri" w:eastAsia="Times New Roman" w:hAnsi="Calibri" w:cs="Times New Roman"/>
      <w:sz w:val="24"/>
      <w:szCs w:val="20"/>
    </w:rPr>
  </w:style>
  <w:style w:type="character" w:customStyle="1" w:styleId="e-mail0">
    <w:name w:val="e-mail"/>
    <w:rPr>
      <w:rFonts w:ascii="Courier" w:hAnsi="Courier"/>
    </w:rPr>
  </w:style>
  <w:style w:type="paragraph" w:customStyle="1" w:styleId="equation0">
    <w:name w:val="equation"/>
    <w:basedOn w:val="Normal"/>
    <w:next w:val="Normal"/>
    <w:pPr>
      <w:tabs>
        <w:tab w:val="center" w:pos="3289"/>
        <w:tab w:val="right" w:pos="6917"/>
      </w:tabs>
      <w:overflowPunct w:val="0"/>
      <w:autoSpaceDE w:val="0"/>
      <w:autoSpaceDN w:val="0"/>
      <w:adjustRightInd w:val="0"/>
      <w:spacing w:before="160" w:line="360" w:lineRule="auto"/>
      <w:jc w:val="both"/>
      <w:textAlignment w:val="baseline"/>
    </w:pPr>
    <w:rPr>
      <w:rFonts w:ascii="Calibri" w:eastAsia="Times New Roman" w:hAnsi="Calibri" w:cs="Times New Roman"/>
      <w:sz w:val="24"/>
      <w:szCs w:val="20"/>
    </w:rPr>
  </w:style>
  <w:style w:type="paragraph" w:customStyle="1" w:styleId="figurecaption1">
    <w:name w:val="figurecaption"/>
    <w:basedOn w:val="Normal"/>
    <w:next w:val="Normal"/>
    <w:pPr>
      <w:keepLines/>
      <w:overflowPunct w:val="0"/>
      <w:autoSpaceDE w:val="0"/>
      <w:autoSpaceDN w:val="0"/>
      <w:adjustRightInd w:val="0"/>
      <w:spacing w:before="120" w:after="240" w:line="220" w:lineRule="atLeast"/>
      <w:jc w:val="center"/>
      <w:textAlignment w:val="baseline"/>
    </w:pPr>
    <w:rPr>
      <w:rFonts w:ascii="Calibri" w:eastAsia="Times New Roman" w:hAnsi="Calibri" w:cs="Times New Roman"/>
      <w:sz w:val="18"/>
      <w:szCs w:val="20"/>
    </w:rPr>
  </w:style>
  <w:style w:type="character" w:customStyle="1" w:styleId="heading40">
    <w:name w:val="heading4"/>
    <w:rPr>
      <w:i/>
    </w:rPr>
  </w:style>
  <w:style w:type="paragraph" w:customStyle="1" w:styleId="image">
    <w:name w:val="image"/>
    <w:basedOn w:val="Normal"/>
    <w:next w:val="Normal"/>
    <w:pPr>
      <w:overflowPunct w:val="0"/>
      <w:autoSpaceDE w:val="0"/>
      <w:autoSpaceDN w:val="0"/>
      <w:adjustRightInd w:val="0"/>
      <w:spacing w:before="240" w:after="120" w:line="360" w:lineRule="auto"/>
      <w:jc w:val="center"/>
      <w:textAlignment w:val="baseline"/>
    </w:pPr>
    <w:rPr>
      <w:rFonts w:ascii="Calibri" w:eastAsia="Times New Roman" w:hAnsi="Calibri" w:cs="Times New Roman"/>
      <w:sz w:val="24"/>
      <w:szCs w:val="20"/>
    </w:rPr>
  </w:style>
  <w:style w:type="paragraph" w:customStyle="1" w:styleId="numitem">
    <w:name w:val="numitem"/>
    <w:basedOn w:val="Normal"/>
    <w:pPr>
      <w:numPr>
        <w:numId w:val="13"/>
      </w:numPr>
      <w:overflowPunct w:val="0"/>
      <w:autoSpaceDE w:val="0"/>
      <w:autoSpaceDN w:val="0"/>
      <w:adjustRightInd w:val="0"/>
      <w:spacing w:before="160" w:line="360" w:lineRule="auto"/>
      <w:contextualSpacing/>
      <w:jc w:val="both"/>
      <w:textAlignment w:val="baseline"/>
    </w:pPr>
    <w:rPr>
      <w:rFonts w:ascii="Calibri" w:eastAsia="Times New Roman" w:hAnsi="Calibri" w:cs="Times New Roman"/>
      <w:sz w:val="24"/>
      <w:szCs w:val="20"/>
    </w:r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overflowPunct w:val="0"/>
      <w:autoSpaceDE w:val="0"/>
      <w:autoSpaceDN w:val="0"/>
      <w:adjustRightInd w:val="0"/>
      <w:spacing w:before="160" w:line="360" w:lineRule="auto"/>
      <w:contextualSpacing/>
      <w:textAlignment w:val="baseline"/>
    </w:pPr>
    <w:rPr>
      <w:rFonts w:ascii="Courier" w:eastAsia="Times New Roman" w:hAnsi="Courier" w:cs="Times New Roman"/>
      <w:sz w:val="24"/>
      <w:szCs w:val="20"/>
    </w:rPr>
  </w:style>
  <w:style w:type="paragraph" w:customStyle="1" w:styleId="runninghead-left">
    <w:name w:val="running head - left"/>
    <w:basedOn w:val="Normal"/>
    <w:pPr>
      <w:overflowPunct w:val="0"/>
      <w:autoSpaceDE w:val="0"/>
      <w:autoSpaceDN w:val="0"/>
      <w:adjustRightInd w:val="0"/>
      <w:spacing w:after="0" w:line="360" w:lineRule="auto"/>
      <w:textAlignment w:val="baseline"/>
    </w:pPr>
    <w:rPr>
      <w:rFonts w:ascii="Calibri" w:eastAsia="Times New Roman" w:hAnsi="Calibri" w:cs="Times New Roman"/>
      <w:sz w:val="18"/>
      <w:szCs w:val="18"/>
    </w:rPr>
  </w:style>
  <w:style w:type="paragraph" w:customStyle="1" w:styleId="runninghead-right">
    <w:name w:val="running head - right"/>
    <w:basedOn w:val="Normal"/>
    <w:qFormat/>
    <w:pPr>
      <w:overflowPunct w:val="0"/>
      <w:autoSpaceDE w:val="0"/>
      <w:autoSpaceDN w:val="0"/>
      <w:adjustRightInd w:val="0"/>
      <w:spacing w:after="0" w:line="360" w:lineRule="auto"/>
      <w:jc w:val="right"/>
      <w:textAlignment w:val="baseline"/>
    </w:pPr>
    <w:rPr>
      <w:rFonts w:ascii="Calibri" w:eastAsia="Times New Roman" w:hAnsi="Calibri" w:cs="Times New Roman"/>
      <w:bCs/>
      <w:sz w:val="18"/>
      <w:szCs w:val="18"/>
    </w:rPr>
  </w:style>
  <w:style w:type="paragraph" w:customStyle="1" w:styleId="papersubtitle">
    <w:name w:val="papersubtitle"/>
    <w:basedOn w:val="papertitle"/>
    <w:qFormat/>
    <w:pPr>
      <w:spacing w:before="120" w:line="280" w:lineRule="atLeast"/>
    </w:pPr>
    <w:rPr>
      <w:rFonts w:ascii="Calibri" w:hAnsi="Calibri"/>
      <w:sz w:val="24"/>
    </w:rPr>
  </w:style>
  <w:style w:type="paragraph" w:customStyle="1" w:styleId="tablecaption0">
    <w:name w:val="tablecaption"/>
    <w:basedOn w:val="Normal"/>
    <w:next w:val="Normal"/>
    <w:pPr>
      <w:keepNext/>
      <w:keepLines/>
      <w:overflowPunct w:val="0"/>
      <w:autoSpaceDE w:val="0"/>
      <w:autoSpaceDN w:val="0"/>
      <w:adjustRightInd w:val="0"/>
      <w:spacing w:before="240" w:after="120" w:line="220" w:lineRule="atLeast"/>
      <w:jc w:val="center"/>
      <w:textAlignment w:val="baseline"/>
    </w:pPr>
    <w:rPr>
      <w:rFonts w:ascii="Calibri" w:eastAsia="Times New Roman" w:hAnsi="Calibri" w:cs="Times New Roman"/>
      <w:sz w:val="18"/>
      <w:szCs w:val="20"/>
    </w:rPr>
  </w:style>
  <w:style w:type="paragraph" w:customStyle="1" w:styleId="ReferenceLine">
    <w:name w:val="ReferenceLine"/>
    <w:basedOn w:val="p1a"/>
    <w:semiHidden/>
    <w:unhideWhenUsed/>
    <w:pPr>
      <w:spacing w:line="200" w:lineRule="exact"/>
    </w:pPr>
    <w:rPr>
      <w:rFonts w:ascii="Calibri" w:eastAsia="Times New Roman" w:hAnsi="Calibri"/>
      <w:sz w:val="16"/>
      <w:lang w:eastAsia="en-US"/>
    </w:rPr>
  </w:style>
  <w:style w:type="paragraph" w:customStyle="1" w:styleId="figurecaption">
    <w:name w:val="figure caption"/>
    <w:qFormat/>
    <w:pPr>
      <w:numPr>
        <w:numId w:val="14"/>
      </w:numPr>
      <w:tabs>
        <w:tab w:val="left" w:pos="533"/>
      </w:tabs>
      <w:spacing w:before="80" w:after="200" w:line="259" w:lineRule="auto"/>
      <w:ind w:left="0" w:firstLine="0"/>
      <w:jc w:val="both"/>
    </w:pPr>
    <w:rPr>
      <w:sz w:val="16"/>
      <w:szCs w:val="16"/>
    </w:rPr>
  </w:style>
  <w:style w:type="paragraph" w:customStyle="1" w:styleId="references">
    <w:name w:val="references"/>
    <w:pPr>
      <w:numPr>
        <w:numId w:val="15"/>
      </w:numPr>
      <w:spacing w:after="50" w:line="180" w:lineRule="exact"/>
      <w:jc w:val="both"/>
    </w:pPr>
    <w:rPr>
      <w:rFonts w:eastAsia="MS Mincho"/>
      <w:sz w:val="16"/>
      <w:szCs w:val="16"/>
    </w:rPr>
  </w:style>
  <w:style w:type="table" w:customStyle="1" w:styleId="GridTable4-Accent61">
    <w:name w:val="Grid Table 4 - Accent 61"/>
    <w:basedOn w:val="TableNormal"/>
    <w:uiPriority w:val="49"/>
    <w:rPr>
      <w:rFonts w:eastAsia="Times New Roman"/>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1">
    <w:name w:val="Grid Table 41"/>
    <w:basedOn w:val="TableNormal"/>
    <w:uiPriority w:val="49"/>
    <w:rPr>
      <w:rFonts w:eastAsia="Times New Roman"/>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ddmd">
    <w:name w:val="addmd"/>
  </w:style>
  <w:style w:type="paragraph" w:customStyle="1" w:styleId="JICT-AuthorsName">
    <w:name w:val="JICT-Authors' Name"/>
    <w:basedOn w:val="Normal"/>
    <w:link w:val="JICT-AuthorsNameChar"/>
    <w:qFormat/>
    <w:pPr>
      <w:widowControl w:val="0"/>
      <w:kinsoku w:val="0"/>
      <w:overflowPunct w:val="0"/>
      <w:spacing w:after="0" w:line="480" w:lineRule="auto"/>
      <w:ind w:firstLine="360"/>
      <w:jc w:val="center"/>
      <w:textAlignment w:val="baseline"/>
    </w:pPr>
    <w:rPr>
      <w:rFonts w:ascii="Times New Roman" w:eastAsia="Times New Roman" w:hAnsi="Times New Roman" w:cs="Times New Roman"/>
      <w:b/>
      <w:bCs/>
      <w:spacing w:val="2"/>
    </w:rPr>
  </w:style>
  <w:style w:type="paragraph" w:customStyle="1" w:styleId="JICT-Affiliation">
    <w:name w:val="JICT-Affiliation"/>
    <w:basedOn w:val="Normal"/>
    <w:link w:val="JICT-AffiliationChar"/>
    <w:qFormat/>
    <w:pPr>
      <w:widowControl w:val="0"/>
      <w:kinsoku w:val="0"/>
      <w:overflowPunct w:val="0"/>
      <w:spacing w:after="0" w:line="480" w:lineRule="auto"/>
      <w:ind w:firstLine="360"/>
      <w:jc w:val="center"/>
      <w:textAlignment w:val="baseline"/>
    </w:pPr>
    <w:rPr>
      <w:rFonts w:ascii="Times New Roman" w:eastAsia="Times New Roman" w:hAnsi="Times New Roman" w:cs="Times New Roman"/>
      <w:i/>
      <w:iCs/>
      <w:spacing w:val="5"/>
    </w:rPr>
  </w:style>
  <w:style w:type="character" w:customStyle="1" w:styleId="JICT-AuthorsNameChar">
    <w:name w:val="JICT-Authors' Name Char"/>
    <w:link w:val="JICT-AuthorsName"/>
    <w:rPr>
      <w:rFonts w:ascii="Times New Roman" w:eastAsia="Times New Roman" w:hAnsi="Times New Roman" w:cs="Times New Roman"/>
      <w:b/>
      <w:bCs/>
      <w:spacing w:val="2"/>
    </w:rPr>
  </w:style>
  <w:style w:type="paragraph" w:customStyle="1" w:styleId="JICT-Email">
    <w:name w:val="JICT-Email"/>
    <w:basedOn w:val="Normal"/>
    <w:link w:val="JICT-EmailChar"/>
    <w:qFormat/>
    <w:pPr>
      <w:widowControl w:val="0"/>
      <w:kinsoku w:val="0"/>
      <w:overflowPunct w:val="0"/>
      <w:spacing w:after="0" w:line="480" w:lineRule="auto"/>
      <w:ind w:firstLine="360"/>
      <w:jc w:val="center"/>
      <w:textAlignment w:val="baseline"/>
    </w:pPr>
    <w:rPr>
      <w:rFonts w:ascii="Times New Roman" w:eastAsia="Times New Roman" w:hAnsi="Times New Roman" w:cs="Times New Roman"/>
      <w:i/>
      <w:iCs/>
    </w:rPr>
  </w:style>
  <w:style w:type="character" w:customStyle="1" w:styleId="JICT-AffiliationChar">
    <w:name w:val="JICT-Affiliation Char"/>
    <w:link w:val="JICT-Affiliation"/>
    <w:rPr>
      <w:rFonts w:ascii="Times New Roman" w:eastAsia="Times New Roman" w:hAnsi="Times New Roman" w:cs="Times New Roman"/>
      <w:i/>
      <w:iCs/>
      <w:spacing w:val="5"/>
    </w:rPr>
  </w:style>
  <w:style w:type="paragraph" w:customStyle="1" w:styleId="JICT-AbstractHeading">
    <w:name w:val="JICT-Abstract Heading"/>
    <w:basedOn w:val="Normal"/>
    <w:link w:val="JICT-AbstractHeadingChar"/>
    <w:qFormat/>
    <w:pPr>
      <w:widowControl w:val="0"/>
      <w:kinsoku w:val="0"/>
      <w:overflowPunct w:val="0"/>
      <w:spacing w:before="240" w:after="240" w:line="480" w:lineRule="auto"/>
      <w:ind w:firstLine="360"/>
      <w:jc w:val="center"/>
      <w:textAlignment w:val="baseline"/>
    </w:pPr>
    <w:rPr>
      <w:rFonts w:ascii="Times New Roman" w:eastAsia="Times New Roman" w:hAnsi="Times New Roman" w:cs="Times New Roman"/>
      <w:b/>
      <w:bCs/>
      <w:caps/>
    </w:rPr>
  </w:style>
  <w:style w:type="character" w:customStyle="1" w:styleId="JICT-EmailChar">
    <w:name w:val="JICT-Email Char"/>
    <w:link w:val="JICT-Email"/>
    <w:rPr>
      <w:rFonts w:ascii="Times New Roman" w:eastAsia="Times New Roman" w:hAnsi="Times New Roman" w:cs="Times New Roman"/>
      <w:i/>
      <w:iCs/>
    </w:rPr>
  </w:style>
  <w:style w:type="paragraph" w:customStyle="1" w:styleId="JICT-AbstractText">
    <w:name w:val="JICT- Abstract Text"/>
    <w:basedOn w:val="Normal"/>
    <w:link w:val="JICT-AbstractTextChar"/>
    <w:qFormat/>
    <w:pPr>
      <w:widowControl w:val="0"/>
      <w:kinsoku w:val="0"/>
      <w:overflowPunct w:val="0"/>
      <w:spacing w:after="0" w:line="480" w:lineRule="auto"/>
      <w:ind w:left="360" w:firstLine="360"/>
      <w:jc w:val="both"/>
      <w:textAlignment w:val="baseline"/>
    </w:pPr>
    <w:rPr>
      <w:rFonts w:ascii="Times New Roman" w:eastAsia="Times New Roman" w:hAnsi="Times New Roman" w:cs="Times New Roman"/>
    </w:rPr>
  </w:style>
  <w:style w:type="character" w:customStyle="1" w:styleId="JICT-AbstractHeadingChar">
    <w:name w:val="JICT-Abstract Heading Char"/>
    <w:link w:val="JICT-AbstractHeading"/>
    <w:rPr>
      <w:rFonts w:ascii="Times New Roman" w:eastAsia="Times New Roman" w:hAnsi="Times New Roman" w:cs="Times New Roman"/>
      <w:b/>
      <w:bCs/>
      <w:caps/>
    </w:rPr>
  </w:style>
  <w:style w:type="paragraph" w:customStyle="1" w:styleId="JICT-Keywords">
    <w:name w:val="JICT-Keywords"/>
    <w:basedOn w:val="Normal"/>
    <w:link w:val="JICT-KeywordsChar"/>
    <w:qFormat/>
    <w:pPr>
      <w:widowControl w:val="0"/>
      <w:kinsoku w:val="0"/>
      <w:overflowPunct w:val="0"/>
      <w:spacing w:before="120" w:after="240" w:line="480" w:lineRule="auto"/>
      <w:ind w:left="360" w:firstLine="360"/>
      <w:jc w:val="both"/>
      <w:textAlignment w:val="baseline"/>
    </w:pPr>
    <w:rPr>
      <w:rFonts w:ascii="Times New Roman" w:eastAsia="Times New Roman" w:hAnsi="Times New Roman" w:cs="Times New Roman"/>
      <w:b/>
      <w:bCs/>
    </w:rPr>
  </w:style>
  <w:style w:type="character" w:customStyle="1" w:styleId="JICT-AbstractTextChar">
    <w:name w:val="JICT- Abstract Text Char"/>
    <w:link w:val="JICT-AbstractText"/>
    <w:rPr>
      <w:rFonts w:ascii="Times New Roman" w:eastAsia="Times New Roman" w:hAnsi="Times New Roman" w:cs="Times New Roman"/>
    </w:rPr>
  </w:style>
  <w:style w:type="character" w:customStyle="1" w:styleId="JICT-KeywordsChar">
    <w:name w:val="JICT-Keywords Char"/>
    <w:link w:val="JICT-Keywords"/>
    <w:rPr>
      <w:rFonts w:ascii="Times New Roman" w:eastAsia="Times New Roman" w:hAnsi="Times New Roman" w:cs="Times New Roman"/>
      <w:b/>
      <w:bCs/>
    </w:rPr>
  </w:style>
  <w:style w:type="table" w:customStyle="1" w:styleId="Calendar1">
    <w:name w:val="Calendar 1"/>
    <w:basedOn w:val="TableNormal"/>
    <w:uiPriority w:val="99"/>
    <w:qFormat/>
    <w:rPr>
      <w:rFonts w:eastAsiaTheme="minorEastAsia"/>
    </w:rP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highlight">
    <w:name w:val="highlight"/>
    <w:basedOn w:val="DefaultParagraphFont"/>
    <w:qFormat/>
  </w:style>
  <w:style w:type="paragraph" w:customStyle="1" w:styleId="nova-legacy-e-listitem">
    <w:name w:val="nova-legacy-e-list__item"/>
    <w:basedOn w:val="Normal"/>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d-inline-block">
    <w:name w:val="d-inline-block"/>
    <w:basedOn w:val="DefaultParagraphFont"/>
  </w:style>
  <w:style w:type="paragraph" w:customStyle="1" w:styleId="js-copy-text-cite">
    <w:name w:val="js-copy-text-cite"/>
    <w:basedOn w:val="Normal"/>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FrameContents">
    <w:name w:val="Frame Contents"/>
    <w:basedOn w:val="Normal"/>
    <w:qFormat/>
    <w:pPr>
      <w:suppressAutoHyphens/>
      <w:spacing w:after="200" w:line="276" w:lineRule="auto"/>
    </w:pPr>
    <w:rPr>
      <w:rFonts w:eastAsiaTheme="minorHAnsi"/>
      <w:lang w:val="en-MY"/>
    </w:rPr>
  </w:style>
  <w:style w:type="paragraph" w:customStyle="1" w:styleId="obgpara">
    <w:name w:val="obg_para"/>
    <w:basedOn w:val="Normal"/>
    <w:qFormat/>
    <w:pPr>
      <w:suppressAutoHyphens/>
      <w:spacing w:beforeAutospacing="1" w:after="200" w:afterAutospacing="1" w:line="240" w:lineRule="auto"/>
    </w:pPr>
    <w:rPr>
      <w:rFonts w:ascii="Times New Roman" w:eastAsia="Times New Roman" w:hAnsi="Times New Roman" w:cs="Times New Roman"/>
      <w:sz w:val="24"/>
      <w:szCs w:val="24"/>
      <w:lang w:val="en-MY" w:eastAsia="en-MY"/>
    </w:rPr>
  </w:style>
  <w:style w:type="character" w:customStyle="1" w:styleId="accordion-tabbedtab-mobile">
    <w:name w:val="accordion-tabbed__tab-mobile"/>
    <w:basedOn w:val="DefaultParagraphFont"/>
  </w:style>
  <w:style w:type="character" w:customStyle="1" w:styleId="comma-separator">
    <w:name w:val="comma-separator"/>
    <w:basedOn w:val="DefaultParagraphFont"/>
  </w:style>
  <w:style w:type="character" w:customStyle="1" w:styleId="e24kjd">
    <w:name w:val="e24kjd"/>
    <w:basedOn w:val="DefaultParagraphFont"/>
    <w:qFormat/>
  </w:style>
  <w:style w:type="character" w:customStyle="1" w:styleId="css-0">
    <w:name w:val="css-0"/>
    <w:basedOn w:val="DefaultParagraphFont"/>
  </w:style>
  <w:style w:type="paragraph" w:customStyle="1" w:styleId="02DigesPMUAuthor">
    <w:name w:val="02. Diges PMU: Author"/>
    <w:basedOn w:val="Normal"/>
    <w:next w:val="Normal"/>
    <w:link w:val="02DigesPMUAuthorChar"/>
    <w:qFormat/>
    <w:pPr>
      <w:widowControl w:val="0"/>
      <w:autoSpaceDE w:val="0"/>
      <w:autoSpaceDN w:val="0"/>
      <w:adjustRightInd w:val="0"/>
      <w:spacing w:after="0" w:line="248" w:lineRule="exact"/>
      <w:ind w:left="6" w:hanging="6"/>
      <w:jc w:val="center"/>
    </w:pPr>
    <w:rPr>
      <w:rFonts w:ascii="Times New Roman" w:eastAsia="SimSun" w:hAnsi="Times New Roman" w:cs="Times New Roman"/>
      <w:spacing w:val="-1"/>
      <w:lang w:val="en-GB" w:eastAsia="zh-CN"/>
    </w:rPr>
  </w:style>
  <w:style w:type="character" w:customStyle="1" w:styleId="02DigesPMUAuthorChar">
    <w:name w:val="02. Diges PMU: Author Char"/>
    <w:link w:val="02DigesPMUAuthor"/>
    <w:rPr>
      <w:rFonts w:ascii="Times New Roman" w:eastAsia="SimSun" w:hAnsi="Times New Roman" w:cs="Times New Roman"/>
      <w:spacing w:val="-1"/>
      <w:lang w:val="en-GB" w:eastAsia="zh-CN"/>
    </w:rPr>
  </w:style>
  <w:style w:type="paragraph" w:customStyle="1" w:styleId="06DigesPMUKeywords">
    <w:name w:val="06. Diges PMU: Keywords"/>
    <w:basedOn w:val="Normal"/>
    <w:next w:val="Normal"/>
    <w:qFormat/>
    <w:pPr>
      <w:widowControl w:val="0"/>
      <w:autoSpaceDE w:val="0"/>
      <w:autoSpaceDN w:val="0"/>
      <w:adjustRightInd w:val="0"/>
      <w:spacing w:before="80" w:after="80" w:line="226" w:lineRule="exact"/>
      <w:ind w:left="567" w:right="567"/>
      <w:jc w:val="both"/>
    </w:pPr>
    <w:rPr>
      <w:rFonts w:ascii="Times New Roman" w:eastAsia="SimSun" w:hAnsi="Times New Roman" w:cs="Times New Roman"/>
      <w:i/>
      <w:iCs/>
      <w:spacing w:val="-1"/>
      <w:position w:val="-1"/>
      <w:sz w:val="20"/>
      <w:szCs w:val="20"/>
      <w:u w:val="single"/>
      <w:lang w:val="en-GB" w:eastAsia="zh-CN"/>
    </w:rPr>
  </w:style>
  <w:style w:type="paragraph" w:customStyle="1" w:styleId="04DigesPMUSubtitle">
    <w:name w:val="04. Diges PMU: Subtitle"/>
    <w:basedOn w:val="Normal"/>
    <w:next w:val="Normal"/>
    <w:qFormat/>
    <w:pPr>
      <w:spacing w:before="100" w:after="0"/>
      <w:ind w:left="567"/>
    </w:pPr>
    <w:rPr>
      <w:rFonts w:ascii="Calibri" w:eastAsia="SimSun" w:hAnsi="Calibri" w:cs="Times New Roman"/>
      <w:b/>
      <w:lang w:val="en-GB" w:eastAsia="zh-CN"/>
    </w:rPr>
  </w:style>
  <w:style w:type="paragraph" w:customStyle="1" w:styleId="12DigesPMUContents">
    <w:name w:val="12. Diges PMU: Contents"/>
    <w:basedOn w:val="Normal"/>
    <w:qFormat/>
    <w:pPr>
      <w:widowControl w:val="0"/>
      <w:autoSpaceDE w:val="0"/>
      <w:autoSpaceDN w:val="0"/>
      <w:adjustRightInd w:val="0"/>
      <w:spacing w:after="120" w:line="240" w:lineRule="auto"/>
      <w:ind w:firstLine="284"/>
      <w:jc w:val="both"/>
    </w:pPr>
    <w:rPr>
      <w:rFonts w:ascii="Times New Roman" w:eastAsia="SimSun" w:hAnsi="Times New Roman" w:cs="Times New Roman"/>
      <w:spacing w:val="3"/>
      <w:sz w:val="20"/>
      <w:szCs w:val="20"/>
      <w:lang w:val="en-GB" w:eastAsia="zh-CN"/>
    </w:rPr>
  </w:style>
  <w:style w:type="paragraph" w:customStyle="1" w:styleId="07DigesPMUHeading1">
    <w:name w:val="07. Diges PMU: Heading 1"/>
    <w:basedOn w:val="Heading1"/>
    <w:next w:val="12DigesPMUContents"/>
    <w:qFormat/>
    <w:pPr>
      <w:keepLines w:val="0"/>
      <w:spacing w:before="240" w:after="120" w:line="240" w:lineRule="auto"/>
      <w:ind w:firstLine="0"/>
    </w:pPr>
    <w:rPr>
      <w:rFonts w:ascii="Times New Roman" w:eastAsia="SimSun" w:hAnsi="Times New Roman" w:cs="Times New Roman"/>
      <w:color w:val="auto"/>
      <w:kern w:val="32"/>
      <w:sz w:val="20"/>
      <w:szCs w:val="32"/>
      <w:lang w:val="en-GB" w:eastAsia="zh-CN" w:bidi="ar-SA"/>
    </w:rPr>
  </w:style>
  <w:style w:type="paragraph" w:customStyle="1" w:styleId="13DigesPMUReference">
    <w:name w:val="13. Diges PMU: Reference"/>
    <w:basedOn w:val="Normal"/>
    <w:qFormat/>
    <w:pPr>
      <w:ind w:left="284" w:hanging="284"/>
    </w:pPr>
    <w:rPr>
      <w:rFonts w:ascii="Times New Roman" w:eastAsia="SimSun" w:hAnsi="Times New Roman" w:cs="Times New Roman"/>
      <w:sz w:val="20"/>
      <w:lang w:val="en-GB" w:eastAsia="zh-CN"/>
    </w:rPr>
  </w:style>
  <w:style w:type="character" w:customStyle="1" w:styleId="NormalWebChar">
    <w:name w:val="Normal (Web) Char"/>
    <w:link w:val="NormalWeb"/>
    <w:uiPriority w:val="99"/>
    <w:qFormat/>
    <w:rPr>
      <w:rFonts w:ascii="Times New Roman" w:eastAsia="Times New Roman" w:hAnsi="Times New Roman" w:cs="Times New Roman"/>
      <w:sz w:val="24"/>
      <w:szCs w:val="24"/>
      <w:lang w:val="en-GB" w:eastAsia="en-GB"/>
    </w:rPr>
  </w:style>
  <w:style w:type="paragraph" w:customStyle="1" w:styleId="TableText0">
    <w:name w:val="Table Text"/>
    <w:basedOn w:val="Normal"/>
    <w:qFormat/>
    <w:pPr>
      <w:kinsoku w:val="0"/>
      <w:autoSpaceDE w:val="0"/>
      <w:autoSpaceDN w:val="0"/>
      <w:adjustRightInd w:val="0"/>
      <w:snapToGrid w:val="0"/>
      <w:spacing w:after="0" w:line="240" w:lineRule="auto"/>
      <w:textAlignment w:val="baseline"/>
    </w:pPr>
    <w:rPr>
      <w:rFonts w:ascii="Times New Roman" w:eastAsia="Times New Roman" w:hAnsi="Times New Roman" w:cs="Times New Roman"/>
      <w:snapToGrid w:val="0"/>
      <w:color w:val="000000"/>
      <w:sz w:val="24"/>
      <w:szCs w:val="24"/>
    </w:rPr>
  </w:style>
  <w:style w:type="table" w:customStyle="1" w:styleId="PlainTable42">
    <w:name w:val="Plain Table 42"/>
    <w:basedOn w:val="TableNormal"/>
    <w:uiPriority w:val="44"/>
    <w:pPr>
      <w:widowControl w:val="0"/>
    </w:pPr>
    <w:rPr>
      <w:rFonts w:eastAsiaTheme="minorHAnsi"/>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Accent11">
    <w:name w:val="Grid Table 1 Light - Accent 11"/>
    <w:basedOn w:val="TableNormal"/>
    <w:uiPriority w:val="99"/>
    <w:pPr>
      <w:widowControl w:val="0"/>
    </w:pPr>
    <w:rPr>
      <w:rFonts w:eastAsiaTheme="minorHAnsi"/>
    </w:rPr>
    <w:tblPr>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TableNormal"/>
    <w:uiPriority w:val="99"/>
    <w:pPr>
      <w:widowControl w:val="0"/>
    </w:pPr>
    <w:rPr>
      <w:rFonts w:eastAsiaTheme="minorHAnsi"/>
    </w:rPr>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pPr>
      <w:widowControl w:val="0"/>
    </w:pPr>
    <w:rPr>
      <w:rFonts w:eastAsiaTheme="minorHAnsi"/>
    </w:rPr>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pPr>
      <w:widowControl w:val="0"/>
    </w:pPr>
    <w:rPr>
      <w:rFonts w:eastAsiaTheme="minorHAnsi"/>
    </w:rPr>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pPr>
      <w:widowControl w:val="0"/>
    </w:pPr>
    <w:rPr>
      <w:rFonts w:eastAsiaTheme="minorHAnsi"/>
    </w:rPr>
    <w:tblPr>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eNormal"/>
    <w:uiPriority w:val="99"/>
    <w:pPr>
      <w:widowControl w:val="0"/>
    </w:pPr>
    <w:rPr>
      <w:rFonts w:eastAsiaTheme="minorHAnsi"/>
    </w:rPr>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
    <w:name w:val="Grid Table 2 - Accent 11"/>
    <w:basedOn w:val="TableNormal"/>
    <w:uiPriority w:val="99"/>
    <w:pPr>
      <w:widowControl w:val="0"/>
    </w:pPr>
    <w:rPr>
      <w:rFonts w:eastAsiaTheme="minorHAnsi"/>
    </w:rPr>
    <w:tblPr>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il"/>
          <w:left w:val="nil"/>
          <w:bottom w:val="single" w:sz="12" w:space="0" w:color="537DC8" w:themeColor="accent1" w:themeTint="EA"/>
          <w:right w:val="nil"/>
        </w:tcBorders>
        <w:shd w:val="clear" w:color="FFFFFF" w:fill="auto"/>
      </w:tcPr>
    </w:tblStylePr>
    <w:tblStylePr w:type="lastRow">
      <w:rPr>
        <w:b/>
        <w:color w:val="404040"/>
      </w:rPr>
      <w:tblPr/>
      <w:tcPr>
        <w:tcBorders>
          <w:top w:val="single" w:sz="4" w:space="0" w:color="537DC8"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1">
    <w:name w:val="Grid Table 2 - Accent 21"/>
    <w:basedOn w:val="TableNormal"/>
    <w:uiPriority w:val="99"/>
    <w:pPr>
      <w:widowControl w:val="0"/>
    </w:pPr>
    <w:rPr>
      <w:rFonts w:eastAsiaTheme="minorHAnsi"/>
    </w:rPr>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single" w:sz="12" w:space="0" w:color="F4B184" w:themeColor="accent2" w:themeTint="97"/>
          <w:right w:val="nil"/>
        </w:tcBorders>
        <w:shd w:val="clear" w:color="FFFFFF" w:fill="auto"/>
      </w:tcPr>
    </w:tblStylePr>
    <w:tblStylePr w:type="lastRow">
      <w:rPr>
        <w:b/>
        <w:color w:val="404040"/>
      </w:rPr>
      <w:tblPr/>
      <w:tcPr>
        <w:tcBorders>
          <w:top w:val="single" w:sz="4" w:space="0" w:color="F4B184"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TableNormal"/>
    <w:uiPriority w:val="99"/>
    <w:pPr>
      <w:widowControl w:val="0"/>
    </w:pPr>
    <w:rPr>
      <w:rFonts w:eastAsiaTheme="minorHAnsi"/>
    </w:rPr>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single" w:sz="12" w:space="0" w:color="A5A5A5" w:themeColor="accent3" w:themeTint="FE"/>
          <w:right w:val="nil"/>
        </w:tcBorders>
        <w:shd w:val="clear" w:color="FFFFFF" w:fill="auto"/>
      </w:tcPr>
    </w:tblStylePr>
    <w:tblStylePr w:type="lastRow">
      <w:rPr>
        <w:b/>
        <w:color w:val="404040"/>
      </w:rPr>
      <w:tblPr/>
      <w:tcPr>
        <w:tcBorders>
          <w:top w:val="single" w:sz="4" w:space="0" w:color="A5A5A5"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TableNormal"/>
    <w:uiPriority w:val="99"/>
    <w:pPr>
      <w:widowControl w:val="0"/>
    </w:pPr>
    <w:rPr>
      <w:rFonts w:eastAsiaTheme="minorHAnsi"/>
    </w:rPr>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single" w:sz="12" w:space="0" w:color="FFD865" w:themeColor="accent4" w:themeTint="9A"/>
          <w:right w:val="nil"/>
        </w:tcBorders>
        <w:shd w:val="clear" w:color="FFFFFF" w:fill="auto"/>
      </w:tcPr>
    </w:tblStylePr>
    <w:tblStylePr w:type="lastRow">
      <w:rPr>
        <w:b/>
        <w:color w:val="404040"/>
      </w:rPr>
      <w:tblPr/>
      <w:tcPr>
        <w:tcBorders>
          <w:top w:val="single" w:sz="4" w:space="0" w:color="FFD865"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TableNormal"/>
    <w:uiPriority w:val="99"/>
    <w:pPr>
      <w:widowControl w:val="0"/>
    </w:pPr>
    <w:rPr>
      <w:rFonts w:eastAsiaTheme="minorHAnsi"/>
    </w:rPr>
    <w:tblPr>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il"/>
          <w:left w:val="nil"/>
          <w:bottom w:val="single" w:sz="12" w:space="0" w:color="5B9BD5" w:themeColor="accent5"/>
          <w:right w:val="nil"/>
        </w:tcBorders>
        <w:shd w:val="clear" w:color="FFFFFF" w:fill="auto"/>
      </w:tcPr>
    </w:tblStylePr>
    <w:tblStylePr w:type="lastRow">
      <w:rPr>
        <w:b/>
        <w:color w:val="404040"/>
      </w:rPr>
      <w:tblPr/>
      <w:tcPr>
        <w:tcBorders>
          <w:top w:val="single" w:sz="4" w:space="0" w:color="5B9BD5"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1">
    <w:name w:val="Grid Table 2 - Accent 61"/>
    <w:basedOn w:val="TableNormal"/>
    <w:uiPriority w:val="99"/>
    <w:pPr>
      <w:widowControl w:val="0"/>
    </w:pPr>
    <w:rPr>
      <w:rFonts w:eastAsiaTheme="minorHAnsi"/>
    </w:rPr>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single" w:sz="12" w:space="0" w:color="70AD47" w:themeColor="accent6"/>
          <w:right w:val="nil"/>
        </w:tcBorders>
        <w:shd w:val="clear" w:color="FFFFFF" w:fill="auto"/>
      </w:tcPr>
    </w:tblStylePr>
    <w:tblStylePr w:type="lastRow">
      <w:rPr>
        <w:b/>
        <w:color w:val="404040"/>
      </w:rPr>
      <w:tblPr/>
      <w:tcPr>
        <w:tcBorders>
          <w:top w:val="single" w:sz="4" w:space="0" w:color="70AD47"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1">
    <w:name w:val="Grid Table 31"/>
    <w:basedOn w:val="TableNormal"/>
    <w:uiPriority w:val="99"/>
    <w:pPr>
      <w:widowControl w:val="0"/>
    </w:pPr>
    <w:rPr>
      <w:rFonts w:eastAsiaTheme="minorHAnsi"/>
    </w:rPr>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widowControl w:val="0"/>
    </w:pPr>
    <w:rPr>
      <w:rFonts w:eastAsiaTheme="minorHAnsi"/>
    </w:rPr>
    <w:tblPr>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1">
    <w:name w:val="Grid Table 3 - Accent 21"/>
    <w:basedOn w:val="TableNormal"/>
    <w:uiPriority w:val="99"/>
    <w:pPr>
      <w:widowControl w:val="0"/>
    </w:pPr>
    <w:rPr>
      <w:rFonts w:eastAsiaTheme="minorHAnsi"/>
    </w:rPr>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TableNormal"/>
    <w:uiPriority w:val="99"/>
    <w:pPr>
      <w:widowControl w:val="0"/>
    </w:pPr>
    <w:rPr>
      <w:rFonts w:eastAsiaTheme="minorHAnsi"/>
    </w:rPr>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TableNormal"/>
    <w:uiPriority w:val="99"/>
    <w:pPr>
      <w:widowControl w:val="0"/>
    </w:pPr>
    <w:rPr>
      <w:rFonts w:eastAsiaTheme="minorHAnsi"/>
    </w:rPr>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TableNormal"/>
    <w:uiPriority w:val="99"/>
    <w:pPr>
      <w:widowControl w:val="0"/>
    </w:pPr>
    <w:rPr>
      <w:rFonts w:eastAsiaTheme="minorHAnsi"/>
    </w:rPr>
    <w:tblPr>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1">
    <w:name w:val="Grid Table 3 - Accent 61"/>
    <w:basedOn w:val="TableNormal"/>
    <w:uiPriority w:val="99"/>
    <w:pPr>
      <w:widowControl w:val="0"/>
    </w:pPr>
    <w:rPr>
      <w:rFonts w:eastAsiaTheme="minorHAnsi"/>
    </w:rPr>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2">
    <w:name w:val="Grid Table 42"/>
    <w:basedOn w:val="TableNormal"/>
    <w:uiPriority w:val="59"/>
    <w:pPr>
      <w:widowControl w:val="0"/>
    </w:pPr>
    <w:rPr>
      <w:rFonts w:eastAsiaTheme="minorHAnsi"/>
    </w:rPr>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widowControl w:val="0"/>
    </w:pPr>
    <w:rPr>
      <w:rFonts w:eastAsiaTheme="minorHAnsi"/>
    </w:rPr>
    <w:tblPr>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1">
    <w:name w:val="Grid Table 4 - Accent 21"/>
    <w:basedOn w:val="TableNormal"/>
    <w:uiPriority w:val="59"/>
    <w:pPr>
      <w:widowControl w:val="0"/>
    </w:pPr>
    <w:rPr>
      <w:rFonts w:eastAsiaTheme="minorHAnsi"/>
    </w:rPr>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41">
    <w:name w:val="Grid Table 4 - Accent 41"/>
    <w:basedOn w:val="TableNormal"/>
    <w:uiPriority w:val="59"/>
    <w:pPr>
      <w:widowControl w:val="0"/>
    </w:pPr>
    <w:rPr>
      <w:rFonts w:eastAsiaTheme="minorHAnsi"/>
    </w:rPr>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TableNormal"/>
    <w:uiPriority w:val="59"/>
    <w:pPr>
      <w:widowControl w:val="0"/>
    </w:pPr>
    <w:rPr>
      <w:rFonts w:eastAsiaTheme="minorHAnsi"/>
    </w:rPr>
    <w:tblPr>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2">
    <w:name w:val="Grid Table 4 - Accent 62"/>
    <w:basedOn w:val="TableNormal"/>
    <w:uiPriority w:val="59"/>
    <w:pPr>
      <w:widowControl w:val="0"/>
    </w:pPr>
    <w:rPr>
      <w:rFonts w:eastAsiaTheme="minorHAnsi"/>
    </w:rPr>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1">
    <w:name w:val="Grid Table 5 Dark1"/>
    <w:basedOn w:val="TableNormal"/>
    <w:uiPriority w:val="99"/>
    <w:pPr>
      <w:widowControl w:val="0"/>
    </w:pPr>
    <w:rPr>
      <w:rFonts w:eastAsiaTheme="minorHAnsi"/>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widowControl w:val="0"/>
    </w:pPr>
    <w:rPr>
      <w:rFonts w:eastAsiaTheme="minorHAnsi"/>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1">
    <w:name w:val="Grid Table 5 Dark - Accent 21"/>
    <w:basedOn w:val="TableNormal"/>
    <w:uiPriority w:val="99"/>
    <w:pPr>
      <w:widowControl w:val="0"/>
    </w:pPr>
    <w:rPr>
      <w:rFonts w:eastAsiaTheme="minorHAnsi"/>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TableNormal"/>
    <w:uiPriority w:val="99"/>
    <w:pPr>
      <w:widowControl w:val="0"/>
    </w:pPr>
    <w:rPr>
      <w:rFonts w:eastAsiaTheme="minorHAnsi"/>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pPr>
      <w:widowControl w:val="0"/>
    </w:pPr>
    <w:rPr>
      <w:rFonts w:eastAsiaTheme="minorHAnsi"/>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TableNormal"/>
    <w:uiPriority w:val="99"/>
    <w:pPr>
      <w:widowControl w:val="0"/>
    </w:pPr>
    <w:rPr>
      <w:rFonts w:eastAsiaTheme="minorHAnsi"/>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1">
    <w:name w:val="Grid Table 5 Dark - Accent 61"/>
    <w:basedOn w:val="TableNormal"/>
    <w:uiPriority w:val="99"/>
    <w:pPr>
      <w:widowControl w:val="0"/>
    </w:pPr>
    <w:rPr>
      <w:rFonts w:eastAsiaTheme="minorHAnsi"/>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1">
    <w:name w:val="Grid Table 6 Colorful1"/>
    <w:basedOn w:val="TableNormal"/>
    <w:uiPriority w:val="99"/>
    <w:pPr>
      <w:widowControl w:val="0"/>
    </w:pPr>
    <w:rPr>
      <w:rFonts w:eastAsiaTheme="minorHAnsi"/>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1">
    <w:name w:val="Grid Table 6 Colorful - Accent 11"/>
    <w:basedOn w:val="TableNormal"/>
    <w:uiPriority w:val="99"/>
    <w:pPr>
      <w:widowControl w:val="0"/>
    </w:pPr>
    <w:rPr>
      <w:rFonts w:eastAsiaTheme="minorHAnsi"/>
    </w:rPr>
    <w:tblPr>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rPr>
      <w:tblPr/>
      <w:tcPr>
        <w:tcBorders>
          <w:bottom w:val="single" w:sz="12" w:space="0" w:color="A0B7E1" w:themeColor="accent1" w:themeTint="80"/>
        </w:tcBorders>
      </w:tcPr>
    </w:tblStylePr>
    <w:tblStylePr w:type="lastRow">
      <w:rPr>
        <w:b/>
        <w:color w:val="A0B7E1" w:themeColor="accent1" w:themeTint="80"/>
      </w:rPr>
    </w:tblStylePr>
    <w:tblStylePr w:type="firstCol">
      <w:rPr>
        <w:b/>
        <w:color w:val="A0B7E1" w:themeColor="accent1" w:themeTint="80"/>
      </w:rPr>
    </w:tblStylePr>
    <w:tblStylePr w:type="lastCol">
      <w:rPr>
        <w:b/>
        <w:color w:val="A0B7E1" w:themeColor="accent1" w:themeTint="80"/>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sz w:val="22"/>
      </w:rPr>
      <w:tblPr/>
      <w:tcPr>
        <w:shd w:val="clear" w:color="D8E2F3" w:themeColor="accent1" w:themeTint="34" w:fill="D8E2F3" w:themeFill="accent1" w:themeFillTint="34"/>
      </w:tcPr>
    </w:tblStylePr>
    <w:tblStylePr w:type="band2Horz">
      <w:rPr>
        <w:rFonts w:ascii="Arial" w:hAnsi="Arial"/>
        <w:color w:val="A0B7E1" w:themeColor="accent1" w:themeTint="80"/>
        <w:sz w:val="22"/>
      </w:rPr>
    </w:tblStylePr>
  </w:style>
  <w:style w:type="table" w:customStyle="1" w:styleId="GridTable6Colorful-Accent21">
    <w:name w:val="Grid Table 6 Colorful - Accent 21"/>
    <w:basedOn w:val="TableNormal"/>
    <w:uiPriority w:val="99"/>
    <w:pPr>
      <w:widowControl w:val="0"/>
    </w:pPr>
    <w:rPr>
      <w:rFonts w:eastAsiaTheme="minorHAnsi"/>
    </w:rPr>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285" w:themeColor="accent2" w:themeTint="96"/>
      </w:rPr>
      <w:tblPr/>
      <w:tcPr>
        <w:tcBorders>
          <w:bottom w:val="single" w:sz="12" w:space="0" w:color="F4B184" w:themeColor="accent2" w:themeTint="97"/>
        </w:tcBorders>
      </w:tcPr>
    </w:tblStylePr>
    <w:tblStylePr w:type="lastRow">
      <w:rPr>
        <w:b/>
        <w:color w:val="F4B285" w:themeColor="accent2" w:themeTint="96"/>
      </w:rPr>
    </w:tblStylePr>
    <w:tblStylePr w:type="firstCol">
      <w:rPr>
        <w:b/>
        <w:color w:val="F4B285" w:themeColor="accent2" w:themeTint="96"/>
      </w:rPr>
    </w:tblStylePr>
    <w:tblStylePr w:type="lastCol">
      <w:rPr>
        <w:b/>
        <w:color w:val="F4B285" w:themeColor="accent2" w:themeTint="96"/>
      </w:r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6Colorful-Accent31">
    <w:name w:val="Grid Table 6 Colorful - Accent 31"/>
    <w:basedOn w:val="TableNormal"/>
    <w:uiPriority w:val="99"/>
    <w:pPr>
      <w:widowControl w:val="0"/>
    </w:pPr>
    <w:rPr>
      <w:rFonts w:eastAsiaTheme="minorHAnsi"/>
    </w:rPr>
    <w:tblPr>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rPr>
      <w:tblPr/>
      <w:tcPr>
        <w:tcBorders>
          <w:bottom w:val="single" w:sz="12" w:space="0" w:color="A5A5A5" w:themeColor="accent3" w:themeTint="FE"/>
        </w:tcBorders>
      </w:tcPr>
    </w:tblStylePr>
    <w:tblStylePr w:type="lastRow">
      <w:rPr>
        <w:b/>
        <w:color w:val="A5A5A5" w:themeColor="accent3"/>
      </w:rPr>
    </w:tblStylePr>
    <w:tblStylePr w:type="firstCol">
      <w:rPr>
        <w:b/>
        <w:color w:val="A5A5A5" w:themeColor="accent3"/>
      </w:rPr>
    </w:tblStylePr>
    <w:tblStylePr w:type="lastCol">
      <w:rPr>
        <w:b/>
        <w:color w:val="A5A5A5" w:themeColor="accent3"/>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6Colorful-Accent41">
    <w:name w:val="Grid Table 6 Colorful - Accent 41"/>
    <w:basedOn w:val="TableNormal"/>
    <w:uiPriority w:val="99"/>
    <w:pPr>
      <w:widowControl w:val="0"/>
    </w:pPr>
    <w:rPr>
      <w:rFonts w:eastAsiaTheme="minorHAnsi"/>
    </w:rPr>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966" w:themeColor="accent4" w:themeTint="99"/>
      </w:rPr>
      <w:tblPr/>
      <w:tcPr>
        <w:tcBorders>
          <w:bottom w:val="single" w:sz="12" w:space="0" w:color="FFD865" w:themeColor="accent4" w:themeTint="9A"/>
        </w:tcBorders>
      </w:tcPr>
    </w:tblStylePr>
    <w:tblStylePr w:type="lastRow">
      <w:rPr>
        <w:b/>
        <w:color w:val="FFD966" w:themeColor="accent4" w:themeTint="99"/>
      </w:rPr>
    </w:tblStylePr>
    <w:tblStylePr w:type="firstCol">
      <w:rPr>
        <w:b/>
        <w:color w:val="FFD966" w:themeColor="accent4" w:themeTint="99"/>
      </w:rPr>
    </w:tblStylePr>
    <w:tblStylePr w:type="lastCol">
      <w:rPr>
        <w:b/>
        <w:color w:val="FFD966" w:themeColor="accent4" w:themeTint="99"/>
      </w:r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6Colorful-Accent51">
    <w:name w:val="Grid Table 6 Colorful - Accent 51"/>
    <w:basedOn w:val="TableNormal"/>
    <w:uiPriority w:val="99"/>
    <w:pPr>
      <w:widowControl w:val="0"/>
    </w:pPr>
    <w:rPr>
      <w:rFonts w:eastAsiaTheme="minorHAnsi"/>
    </w:rPr>
    <w:tblPr>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C" w:themeColor="accent5" w:themeShade="94"/>
      </w:rPr>
      <w:tblPr/>
      <w:tcPr>
        <w:tcBorders>
          <w:bottom w:val="single" w:sz="12" w:space="0" w:color="5B9BD5" w:themeColor="accent5"/>
        </w:tcBorders>
      </w:tcPr>
    </w:tblStylePr>
    <w:tblStylePr w:type="lastRow">
      <w:rPr>
        <w:b/>
        <w:color w:val="245A8C" w:themeColor="accent5" w:themeShade="94"/>
      </w:rPr>
    </w:tblStylePr>
    <w:tblStylePr w:type="firstCol">
      <w:rPr>
        <w:b/>
        <w:color w:val="245A8C" w:themeColor="accent5" w:themeShade="94"/>
      </w:rPr>
    </w:tblStylePr>
    <w:tblStylePr w:type="lastCol">
      <w:rPr>
        <w:b/>
        <w:color w:val="245A8C" w:themeColor="accent5" w:themeShade="94"/>
      </w:rPr>
    </w:tblStylePr>
    <w:tblStylePr w:type="band1Vert">
      <w:tblPr/>
      <w:tcPr>
        <w:shd w:val="clear" w:color="DDEAF6" w:themeColor="accent5" w:themeTint="34" w:fill="DDEAF6" w:themeFill="accent5" w:themeFillTint="34"/>
      </w:tcPr>
    </w:tblStylePr>
    <w:tblStylePr w:type="band1Horz">
      <w:rPr>
        <w:rFonts w:ascii="Arial" w:hAnsi="Arial"/>
        <w:color w:val="245A8C" w:themeColor="accent5" w:themeShade="94"/>
        <w:sz w:val="22"/>
      </w:rPr>
      <w:tblPr/>
      <w:tcPr>
        <w:shd w:val="clear" w:color="DDEAF6" w:themeColor="accent5" w:themeTint="34" w:fill="DDEAF6" w:themeFill="accent5" w:themeFillTint="34"/>
      </w:tcPr>
    </w:tblStylePr>
    <w:tblStylePr w:type="band2Horz">
      <w:rPr>
        <w:rFonts w:ascii="Arial" w:hAnsi="Arial"/>
        <w:color w:val="245A8C" w:themeColor="accent5" w:themeShade="94"/>
        <w:sz w:val="22"/>
      </w:rPr>
    </w:tblStylePr>
  </w:style>
  <w:style w:type="table" w:customStyle="1" w:styleId="GridTable6Colorful-Accent61">
    <w:name w:val="Grid Table 6 Colorful - Accent 61"/>
    <w:basedOn w:val="TableNormal"/>
    <w:uiPriority w:val="99"/>
    <w:pPr>
      <w:widowControl w:val="0"/>
    </w:pPr>
    <w:rPr>
      <w:rFonts w:eastAsiaTheme="minorHAnsi"/>
    </w:rPr>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C" w:themeColor="accent5" w:themeShade="94"/>
      </w:rPr>
      <w:tblPr/>
      <w:tcPr>
        <w:tcBorders>
          <w:bottom w:val="single" w:sz="12" w:space="0" w:color="70AD47" w:themeColor="accent6"/>
        </w:tcBorders>
      </w:tcPr>
    </w:tblStylePr>
    <w:tblStylePr w:type="lastRow">
      <w:rPr>
        <w:b/>
        <w:color w:val="245A8C" w:themeColor="accent5" w:themeShade="94"/>
      </w:rPr>
    </w:tblStylePr>
    <w:tblStylePr w:type="firstCol">
      <w:rPr>
        <w:b/>
        <w:color w:val="245A8C" w:themeColor="accent5" w:themeShade="94"/>
      </w:rPr>
    </w:tblStylePr>
    <w:tblStylePr w:type="lastCol">
      <w:rPr>
        <w:b/>
        <w:color w:val="245A8C" w:themeColor="accent5" w:themeShade="94"/>
      </w:rPr>
    </w:tblStylePr>
    <w:tblStylePr w:type="band1Vert">
      <w:tblPr/>
      <w:tcPr>
        <w:shd w:val="clear" w:color="E1EFD8" w:themeColor="accent6" w:themeTint="34" w:fill="E1EFD8" w:themeFill="accent6" w:themeFillTint="34"/>
      </w:tcPr>
    </w:tblStylePr>
    <w:tblStylePr w:type="band1Horz">
      <w:rPr>
        <w:rFonts w:ascii="Arial" w:hAnsi="Arial"/>
        <w:color w:val="245A8C" w:themeColor="accent5" w:themeShade="94"/>
        <w:sz w:val="22"/>
      </w:rPr>
      <w:tblPr/>
      <w:tcPr>
        <w:shd w:val="clear" w:color="E1EFD8" w:themeColor="accent6" w:themeTint="34" w:fill="E1EFD8" w:themeFill="accent6" w:themeFillTint="34"/>
      </w:tcPr>
    </w:tblStylePr>
    <w:tblStylePr w:type="band2Horz">
      <w:rPr>
        <w:rFonts w:ascii="Arial" w:hAnsi="Arial"/>
        <w:color w:val="245A8C" w:themeColor="accent5" w:themeShade="94"/>
        <w:sz w:val="22"/>
      </w:rPr>
    </w:tblStylePr>
  </w:style>
  <w:style w:type="table" w:customStyle="1" w:styleId="GridTable7Colorful1">
    <w:name w:val="Grid Table 7 Colorful1"/>
    <w:basedOn w:val="TableNormal"/>
    <w:uiPriority w:val="99"/>
    <w:pPr>
      <w:widowControl w:val="0"/>
    </w:pPr>
    <w:rPr>
      <w:rFonts w:eastAsiaTheme="minorHAnsi"/>
    </w:rPr>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1">
    <w:name w:val="Grid Table 7 Colorful - Accent 11"/>
    <w:basedOn w:val="TableNormal"/>
    <w:uiPriority w:val="99"/>
    <w:pPr>
      <w:widowControl w:val="0"/>
    </w:pPr>
    <w:rPr>
      <w:rFonts w:eastAsiaTheme="minorHAnsi"/>
    </w:rPr>
    <w:tblPr>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sz w:val="22"/>
      </w:rPr>
      <w:tblPr/>
      <w:tcPr>
        <w:tcBorders>
          <w:top w:val="nil"/>
          <w:left w:val="nil"/>
          <w:bottom w:val="single" w:sz="4" w:space="0" w:color="A0B7E1" w:themeColor="accent1" w:themeTint="80"/>
          <w:right w:val="nil"/>
        </w:tcBorders>
        <w:shd w:val="clear" w:color="FFFFFF" w:themeColor="light1" w:fill="FFFFFF" w:themeFill="light1"/>
      </w:tcPr>
    </w:tblStylePr>
    <w:tblStylePr w:type="lastRow">
      <w:rPr>
        <w:rFonts w:ascii="Arial" w:hAnsi="Arial"/>
        <w:b/>
        <w:color w:val="A0B7E1" w:themeColor="accent1" w:themeTint="80"/>
        <w:sz w:val="22"/>
      </w:rPr>
      <w:tblPr/>
      <w:tcPr>
        <w:tcBorders>
          <w:top w:val="single" w:sz="4" w:space="0" w:color="A0B7E1"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0B7E1" w:themeColor="accent1" w:themeTint="80"/>
        <w:sz w:val="22"/>
      </w:rPr>
      <w:tblPr/>
      <w:tcPr>
        <w:tcBorders>
          <w:top w:val="nil"/>
          <w:left w:val="nil"/>
          <w:bottom w:val="nil"/>
          <w:right w:val="single" w:sz="4" w:space="0" w:color="A0B7E1" w:themeColor="accent1" w:themeTint="80"/>
        </w:tcBorders>
        <w:shd w:val="clear" w:color="FFFFFF" w:fill="auto"/>
      </w:tcPr>
    </w:tblStylePr>
    <w:tblStylePr w:type="lastCol">
      <w:rPr>
        <w:rFonts w:ascii="Arial" w:hAnsi="Arial"/>
        <w:i/>
        <w:color w:val="A0B7E1" w:themeColor="accent1" w:themeTint="80"/>
        <w:sz w:val="22"/>
      </w:rPr>
      <w:tblPr/>
      <w:tcPr>
        <w:tcBorders>
          <w:top w:val="nil"/>
          <w:left w:val="single" w:sz="4" w:space="0" w:color="A0B7E1" w:themeColor="accent1" w:themeTint="80"/>
          <w:bottom w:val="nil"/>
          <w:right w:val="nil"/>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sz w:val="22"/>
      </w:rPr>
      <w:tblPr/>
      <w:tcPr>
        <w:shd w:val="clear" w:color="D8E2F3" w:themeColor="accent1" w:themeTint="34" w:fill="D8E2F3" w:themeFill="accent1" w:themeFillTint="34"/>
      </w:tcPr>
    </w:tblStylePr>
    <w:tblStylePr w:type="band2Horz">
      <w:rPr>
        <w:rFonts w:ascii="Arial" w:hAnsi="Arial"/>
        <w:color w:val="A0B7E1" w:themeColor="accent1" w:themeTint="80"/>
        <w:sz w:val="22"/>
      </w:rPr>
    </w:tblStylePr>
  </w:style>
  <w:style w:type="table" w:customStyle="1" w:styleId="GridTable7Colorful-Accent21">
    <w:name w:val="Grid Table 7 Colorful - Accent 21"/>
    <w:basedOn w:val="TableNormal"/>
    <w:uiPriority w:val="99"/>
    <w:pPr>
      <w:widowControl w:val="0"/>
    </w:pPr>
    <w:rPr>
      <w:rFonts w:eastAsiaTheme="minorHAnsi"/>
    </w:rPr>
    <w:tblPr>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b/>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7Colorful-Accent31">
    <w:name w:val="Grid Table 7 Colorful - Accent 31"/>
    <w:basedOn w:val="TableNormal"/>
    <w:uiPriority w:val="99"/>
    <w:pPr>
      <w:widowControl w:val="0"/>
    </w:pPr>
    <w:rPr>
      <w:rFonts w:eastAsiaTheme="minorHAnsi"/>
    </w:rPr>
    <w:tblPr>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sz w:val="22"/>
      </w:rPr>
      <w:tblPr/>
      <w:tcPr>
        <w:tcBorders>
          <w:top w:val="nil"/>
          <w:left w:val="nil"/>
          <w:bottom w:val="single" w:sz="4" w:space="0" w:color="A5A5A5" w:themeColor="accent3" w:themeTint="FE"/>
          <w:right w:val="nil"/>
        </w:tcBorders>
        <w:shd w:val="clear" w:color="FFFFFF" w:themeColor="light1" w:fill="FFFFFF" w:themeFill="light1"/>
      </w:tcPr>
    </w:tblStylePr>
    <w:tblStylePr w:type="lastRow">
      <w:rPr>
        <w:rFonts w:ascii="Arial" w:hAnsi="Arial"/>
        <w:b/>
        <w:color w:val="A5A5A5" w:themeColor="accent3"/>
        <w:sz w:val="22"/>
      </w:rPr>
      <w:tblPr/>
      <w:tcPr>
        <w:tcBorders>
          <w:top w:val="single" w:sz="4" w:space="0" w:color="A5A5A5"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A5A5A5" w:themeColor="accent3"/>
        <w:sz w:val="22"/>
      </w:rPr>
      <w:tblPr/>
      <w:tcPr>
        <w:tcBorders>
          <w:top w:val="nil"/>
          <w:left w:val="nil"/>
          <w:bottom w:val="nil"/>
          <w:right w:val="single" w:sz="4" w:space="0" w:color="A5A5A5" w:themeColor="accent3" w:themeTint="FE"/>
        </w:tcBorders>
        <w:shd w:val="clear" w:color="FFFFFF" w:fill="auto"/>
      </w:tcPr>
    </w:tblStylePr>
    <w:tblStylePr w:type="lastCol">
      <w:rPr>
        <w:rFonts w:ascii="Arial" w:hAnsi="Arial"/>
        <w:i/>
        <w:color w:val="A5A5A5" w:themeColor="accent3"/>
        <w:sz w:val="22"/>
      </w:rPr>
      <w:tblPr/>
      <w:tcPr>
        <w:tcBorders>
          <w:top w:val="nil"/>
          <w:left w:val="single" w:sz="4" w:space="0" w:color="A5A5A5" w:themeColor="accent3" w:themeTint="FE"/>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7Colorful-Accent41">
    <w:name w:val="Grid Table 7 Colorful - Accent 41"/>
    <w:basedOn w:val="TableNormal"/>
    <w:uiPriority w:val="99"/>
    <w:pPr>
      <w:widowControl w:val="0"/>
    </w:pPr>
    <w:rPr>
      <w:rFonts w:eastAsiaTheme="minorHAnsi"/>
    </w:rPr>
    <w:tblPr>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b/>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7Colorful-Accent51">
    <w:name w:val="Grid Table 7 Colorful - Accent 51"/>
    <w:basedOn w:val="TableNormal"/>
    <w:uiPriority w:val="99"/>
    <w:pPr>
      <w:widowControl w:val="0"/>
    </w:pPr>
    <w:rPr>
      <w:rFonts w:eastAsiaTheme="minorHAnsi"/>
    </w:rPr>
    <w:tblPr>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C" w:themeColor="accent5" w:themeShade="94"/>
        <w:sz w:val="22"/>
      </w:rPr>
      <w:tblPr/>
      <w:tcPr>
        <w:tcBorders>
          <w:top w:val="nil"/>
          <w:left w:val="nil"/>
          <w:bottom w:val="single" w:sz="4" w:space="0" w:color="A2C6E7" w:themeColor="accent5" w:themeTint="90"/>
          <w:right w:val="nil"/>
        </w:tcBorders>
        <w:shd w:val="clear" w:color="FFFFFF" w:themeColor="light1" w:fill="FFFFFF" w:themeFill="light1"/>
      </w:tcPr>
    </w:tblStylePr>
    <w:tblStylePr w:type="lastRow">
      <w:rPr>
        <w:rFonts w:ascii="Arial" w:hAnsi="Arial"/>
        <w:b/>
        <w:color w:val="245A8C" w:themeColor="accent5" w:themeShade="94"/>
        <w:sz w:val="22"/>
      </w:rPr>
      <w:tblPr/>
      <w:tcPr>
        <w:tcBorders>
          <w:top w:val="single" w:sz="4" w:space="0" w:color="A2C6E7"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45A8C" w:themeColor="accent5" w:themeShade="94"/>
        <w:sz w:val="22"/>
      </w:rPr>
      <w:tblPr/>
      <w:tcPr>
        <w:tcBorders>
          <w:top w:val="nil"/>
          <w:left w:val="nil"/>
          <w:bottom w:val="nil"/>
          <w:right w:val="single" w:sz="4" w:space="0" w:color="A2C6E7" w:themeColor="accent5" w:themeTint="90"/>
        </w:tcBorders>
        <w:shd w:val="clear" w:color="FFFFFF" w:fill="auto"/>
      </w:tcPr>
    </w:tblStylePr>
    <w:tblStylePr w:type="lastCol">
      <w:rPr>
        <w:rFonts w:ascii="Arial" w:hAnsi="Arial"/>
        <w:i/>
        <w:color w:val="245A8C" w:themeColor="accent5" w:themeShade="94"/>
        <w:sz w:val="22"/>
      </w:rPr>
      <w:tblPr/>
      <w:tcPr>
        <w:tcBorders>
          <w:top w:val="nil"/>
          <w:left w:val="single" w:sz="4" w:space="0" w:color="A2C6E7" w:themeColor="accent5" w:themeTint="90"/>
          <w:bottom w:val="nil"/>
          <w:right w:val="nil"/>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C" w:themeColor="accent5" w:themeShade="94"/>
        <w:sz w:val="22"/>
      </w:rPr>
      <w:tblPr/>
      <w:tcPr>
        <w:shd w:val="clear" w:color="DDEAF6" w:themeColor="accent5" w:themeTint="34" w:fill="DDEAF6" w:themeFill="accent5" w:themeFillTint="34"/>
      </w:tcPr>
    </w:tblStylePr>
    <w:tblStylePr w:type="band2Horz">
      <w:rPr>
        <w:rFonts w:ascii="Arial" w:hAnsi="Arial"/>
        <w:color w:val="245A8C" w:themeColor="accent5" w:themeShade="94"/>
        <w:sz w:val="22"/>
      </w:rPr>
    </w:tblStylePr>
  </w:style>
  <w:style w:type="table" w:customStyle="1" w:styleId="GridTable7Colorful-Accent61">
    <w:name w:val="Grid Table 7 Colorful - Accent 61"/>
    <w:basedOn w:val="TableNormal"/>
    <w:uiPriority w:val="99"/>
    <w:pPr>
      <w:widowControl w:val="0"/>
    </w:pPr>
    <w:rPr>
      <w:rFonts w:eastAsiaTheme="minorHAnsi"/>
    </w:rPr>
    <w:tblPr>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06429" w:themeColor="accent6" w:themeShade="94"/>
        <w:sz w:val="22"/>
      </w:rPr>
      <w:tblPr/>
      <w:tcPr>
        <w:tcBorders>
          <w:top w:val="nil"/>
          <w:left w:val="nil"/>
          <w:bottom w:val="single" w:sz="4" w:space="0" w:color="ADD394" w:themeColor="accent6" w:themeTint="90"/>
          <w:right w:val="nil"/>
        </w:tcBorders>
        <w:shd w:val="clear" w:color="FFFFFF" w:themeColor="light1" w:fill="FFFFFF" w:themeFill="light1"/>
      </w:tcPr>
    </w:tblStylePr>
    <w:tblStylePr w:type="lastRow">
      <w:rPr>
        <w:rFonts w:ascii="Arial" w:hAnsi="Arial"/>
        <w:b/>
        <w:color w:val="406429" w:themeColor="accent6" w:themeShade="94"/>
        <w:sz w:val="22"/>
      </w:rPr>
      <w:tblPr/>
      <w:tcPr>
        <w:tcBorders>
          <w:top w:val="single" w:sz="4" w:space="0" w:color="ADD394"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406429" w:themeColor="accent6" w:themeShade="94"/>
        <w:sz w:val="22"/>
      </w:rPr>
      <w:tblPr/>
      <w:tcPr>
        <w:tcBorders>
          <w:top w:val="nil"/>
          <w:left w:val="nil"/>
          <w:bottom w:val="nil"/>
          <w:right w:val="single" w:sz="4" w:space="0" w:color="ADD394" w:themeColor="accent6" w:themeTint="90"/>
        </w:tcBorders>
        <w:shd w:val="clear" w:color="FFFFFF" w:fill="auto"/>
      </w:tcPr>
    </w:tblStylePr>
    <w:tblStylePr w:type="lastCol">
      <w:rPr>
        <w:rFonts w:ascii="Arial" w:hAnsi="Arial"/>
        <w:i/>
        <w:color w:val="406429" w:themeColor="accent6" w:themeShade="94"/>
        <w:sz w:val="22"/>
      </w:rPr>
      <w:tblPr/>
      <w:tcPr>
        <w:tcBorders>
          <w:top w:val="nil"/>
          <w:left w:val="single" w:sz="4" w:space="0" w:color="ADD394" w:themeColor="accent6" w:themeTint="9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06429" w:themeColor="accent6" w:themeShade="94"/>
        <w:sz w:val="22"/>
      </w:rPr>
      <w:tblPr/>
      <w:tcPr>
        <w:shd w:val="clear" w:color="E1EFD8" w:themeColor="accent6" w:themeTint="34" w:fill="E1EFD8" w:themeFill="accent6" w:themeFillTint="34"/>
      </w:tcPr>
    </w:tblStylePr>
    <w:tblStylePr w:type="band2Horz">
      <w:rPr>
        <w:rFonts w:ascii="Arial" w:hAnsi="Arial"/>
        <w:color w:val="406429" w:themeColor="accent6" w:themeShade="94"/>
        <w:sz w:val="22"/>
      </w:rPr>
    </w:tblStylePr>
  </w:style>
  <w:style w:type="table" w:customStyle="1" w:styleId="ListTable1Light-Accent11">
    <w:name w:val="List Table 1 Light - Accent 11"/>
    <w:basedOn w:val="TableNormal"/>
    <w:uiPriority w:val="99"/>
    <w:pPr>
      <w:widowControl w:val="0"/>
    </w:pPr>
    <w:rPr>
      <w:rFonts w:eastAsiaTheme="minorHAnsi"/>
    </w:rPr>
    <w:tblPr/>
    <w:tblStylePr w:type="firstRow">
      <w:rPr>
        <w:b/>
        <w:color w:val="404040"/>
      </w:rPr>
      <w:tblPr/>
      <w:tcPr>
        <w:tcBorders>
          <w:top w:val="nil"/>
          <w:left w:val="nil"/>
          <w:bottom w:val="single" w:sz="4" w:space="0" w:color="4472C4" w:themeColor="accent1"/>
          <w:right w:val="nil"/>
        </w:tcBorders>
      </w:tcPr>
    </w:tblStylePr>
    <w:tblStylePr w:type="lastRow">
      <w:rPr>
        <w:b/>
        <w:color w:val="404040"/>
      </w:rPr>
      <w:tblPr/>
      <w:tcPr>
        <w:tcBorders>
          <w:top w:val="single" w:sz="4" w:space="0" w:color="4472C4"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1">
    <w:name w:val="List Table 1 Light - Accent 21"/>
    <w:basedOn w:val="TableNormal"/>
    <w:uiPriority w:val="99"/>
    <w:pPr>
      <w:widowControl w:val="0"/>
    </w:pPr>
    <w:rPr>
      <w:rFonts w:eastAsiaTheme="minorHAnsi"/>
    </w:rPr>
    <w:tblPr/>
    <w:tblStylePr w:type="firstRow">
      <w:rPr>
        <w:b/>
        <w:color w:val="404040"/>
      </w:rPr>
      <w:tblPr/>
      <w:tcPr>
        <w:tcBorders>
          <w:top w:val="nil"/>
          <w:left w:val="nil"/>
          <w:bottom w:val="single" w:sz="4" w:space="0" w:color="ED7D31" w:themeColor="accent2"/>
          <w:right w:val="nil"/>
        </w:tcBorders>
      </w:tcPr>
    </w:tblStylePr>
    <w:tblStylePr w:type="lastRow">
      <w:rPr>
        <w:b/>
        <w:color w:val="404040"/>
      </w:rPr>
      <w:tblPr/>
      <w:tcPr>
        <w:tcBorders>
          <w:top w:val="single" w:sz="4" w:space="0" w:color="ED7D31"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TableNormal"/>
    <w:uiPriority w:val="99"/>
    <w:pPr>
      <w:widowControl w:val="0"/>
    </w:pPr>
    <w:rPr>
      <w:rFonts w:eastAsiaTheme="minorHAnsi"/>
    </w:rPr>
    <w:tblPr/>
    <w:tblStylePr w:type="firstRow">
      <w:rPr>
        <w:b/>
        <w:color w:val="404040"/>
      </w:rPr>
      <w:tblPr/>
      <w:tcPr>
        <w:tcBorders>
          <w:top w:val="nil"/>
          <w:left w:val="nil"/>
          <w:bottom w:val="single" w:sz="4" w:space="0" w:color="A5A5A5" w:themeColor="accent3"/>
          <w:right w:val="nil"/>
        </w:tcBorders>
      </w:tcPr>
    </w:tblStylePr>
    <w:tblStylePr w:type="lastRow">
      <w:rPr>
        <w:b/>
        <w:color w:val="404040"/>
      </w:rPr>
      <w:tblPr/>
      <w:tcPr>
        <w:tcBorders>
          <w:top w:val="single" w:sz="4" w:space="0" w:color="A5A5A5"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TableNormal"/>
    <w:uiPriority w:val="99"/>
    <w:pPr>
      <w:widowControl w:val="0"/>
    </w:pPr>
    <w:rPr>
      <w:rFonts w:eastAsiaTheme="minorHAnsi"/>
    </w:rPr>
    <w:tblPr/>
    <w:tblStylePr w:type="firstRow">
      <w:rPr>
        <w:b/>
        <w:color w:val="404040"/>
      </w:rPr>
      <w:tblPr/>
      <w:tcPr>
        <w:tcBorders>
          <w:top w:val="nil"/>
          <w:left w:val="nil"/>
          <w:bottom w:val="single" w:sz="4" w:space="0" w:color="FFC000" w:themeColor="accent4"/>
          <w:right w:val="nil"/>
        </w:tcBorders>
      </w:tcPr>
    </w:tblStylePr>
    <w:tblStylePr w:type="lastRow">
      <w:rPr>
        <w:b/>
        <w:color w:val="404040"/>
      </w:rPr>
      <w:tblPr/>
      <w:tcPr>
        <w:tcBorders>
          <w:top w:val="single" w:sz="4" w:space="0" w:color="FFC000"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TableNormal"/>
    <w:uiPriority w:val="99"/>
    <w:pPr>
      <w:widowControl w:val="0"/>
    </w:pPr>
    <w:rPr>
      <w:rFonts w:eastAsiaTheme="minorHAnsi"/>
    </w:rPr>
    <w:tblPr/>
    <w:tblStylePr w:type="firstRow">
      <w:rPr>
        <w:b/>
        <w:color w:val="404040"/>
      </w:rPr>
      <w:tblPr/>
      <w:tcPr>
        <w:tcBorders>
          <w:top w:val="nil"/>
          <w:left w:val="nil"/>
          <w:bottom w:val="single" w:sz="4" w:space="0" w:color="5B9BD5" w:themeColor="accent5"/>
          <w:right w:val="nil"/>
        </w:tcBorders>
      </w:tcPr>
    </w:tblStylePr>
    <w:tblStylePr w:type="lastRow">
      <w:rPr>
        <w:b/>
        <w:color w:val="404040"/>
      </w:rPr>
      <w:tblPr/>
      <w:tcPr>
        <w:tcBorders>
          <w:top w:val="single" w:sz="4" w:space="0" w:color="5B9BD5"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1">
    <w:name w:val="List Table 1 Light - Accent 61"/>
    <w:basedOn w:val="TableNormal"/>
    <w:uiPriority w:val="99"/>
    <w:pPr>
      <w:widowControl w:val="0"/>
    </w:pPr>
    <w:rPr>
      <w:rFonts w:eastAsiaTheme="minorHAnsi"/>
    </w:rPr>
    <w:tblPr/>
    <w:tblStylePr w:type="firstRow">
      <w:rPr>
        <w:b/>
        <w:color w:val="404040"/>
      </w:rPr>
      <w:tblPr/>
      <w:tcPr>
        <w:tcBorders>
          <w:top w:val="nil"/>
          <w:left w:val="nil"/>
          <w:bottom w:val="single" w:sz="4" w:space="0" w:color="70AD47" w:themeColor="accent6"/>
          <w:right w:val="nil"/>
        </w:tcBorders>
      </w:tcPr>
    </w:tblStylePr>
    <w:tblStylePr w:type="lastRow">
      <w:rPr>
        <w:b/>
        <w:color w:val="404040"/>
      </w:rPr>
      <w:tblPr/>
      <w:tcPr>
        <w:tcBorders>
          <w:top w:val="single" w:sz="4" w:space="0" w:color="70AD47"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Accent21">
    <w:name w:val="List Table 2 - Accent 21"/>
    <w:basedOn w:val="TableNormal"/>
    <w:uiPriority w:val="99"/>
    <w:pPr>
      <w:widowControl w:val="0"/>
    </w:pPr>
    <w:rPr>
      <w:rFonts w:eastAsiaTheme="minorHAnsi"/>
    </w:rPr>
    <w:tblPr>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la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TableNormal"/>
    <w:uiPriority w:val="99"/>
    <w:pPr>
      <w:widowControl w:val="0"/>
    </w:pPr>
    <w:rPr>
      <w:rFonts w:eastAsiaTheme="minorHAnsi"/>
    </w:rPr>
    <w:tblPr>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la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TableNormal"/>
    <w:uiPriority w:val="99"/>
    <w:pPr>
      <w:widowControl w:val="0"/>
    </w:pPr>
    <w:rPr>
      <w:rFonts w:eastAsiaTheme="minorHAnsi"/>
    </w:rPr>
    <w:tblPr>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la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61">
    <w:name w:val="List Table 2 - Accent 61"/>
    <w:basedOn w:val="TableNormal"/>
    <w:uiPriority w:val="99"/>
    <w:pPr>
      <w:widowControl w:val="0"/>
    </w:pPr>
    <w:rPr>
      <w:rFonts w:eastAsiaTheme="minorHAnsi"/>
    </w:rPr>
    <w:tblPr>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la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1">
    <w:name w:val="List Table 31"/>
    <w:basedOn w:val="TableNormal"/>
    <w:uiPriority w:val="99"/>
    <w:pPr>
      <w:widowControl w:val="0"/>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widowControl w:val="0"/>
    </w:pPr>
    <w:rPr>
      <w:rFonts w:eastAsiaTheme="minorHAnsi"/>
    </w:rPr>
    <w:tblPr>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eNormal"/>
    <w:uiPriority w:val="99"/>
    <w:pPr>
      <w:widowControl w:val="0"/>
    </w:pPr>
    <w:rPr>
      <w:rFonts w:eastAsiaTheme="minorHAnsi"/>
    </w:rPr>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pPr>
      <w:widowControl w:val="0"/>
    </w:pPr>
    <w:rPr>
      <w:rFonts w:eastAsiaTheme="minorHAnsi"/>
    </w:rPr>
    <w:tblPr>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pPr>
      <w:widowControl w:val="0"/>
    </w:pPr>
    <w:rPr>
      <w:rFonts w:eastAsiaTheme="minorHAnsi"/>
    </w:rPr>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pPr>
      <w:widowControl w:val="0"/>
    </w:pPr>
    <w:rPr>
      <w:rFonts w:eastAsiaTheme="minorHAnsi"/>
    </w:rPr>
    <w:tblPr>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eNormal"/>
    <w:uiPriority w:val="99"/>
    <w:pPr>
      <w:widowControl w:val="0"/>
    </w:pPr>
    <w:rPr>
      <w:rFonts w:eastAsiaTheme="minorHAnsi"/>
    </w:rPr>
    <w:tblPr>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1">
    <w:name w:val="List Table 41"/>
    <w:basedOn w:val="TableNormal"/>
    <w:uiPriority w:val="99"/>
    <w:pPr>
      <w:widowControl w:val="0"/>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widowControl w:val="0"/>
    </w:pPr>
    <w:rPr>
      <w:rFonts w:eastAsiaTheme="minorHAnsi"/>
    </w:rPr>
    <w:tblPr>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1">
    <w:name w:val="List Table 4 - Accent 21"/>
    <w:basedOn w:val="TableNormal"/>
    <w:uiPriority w:val="99"/>
    <w:pPr>
      <w:widowControl w:val="0"/>
    </w:pPr>
    <w:rPr>
      <w:rFonts w:eastAsiaTheme="minorHAnsi"/>
    </w:rPr>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TableNormal"/>
    <w:uiPriority w:val="99"/>
    <w:pPr>
      <w:widowControl w:val="0"/>
    </w:pPr>
    <w:rPr>
      <w:rFonts w:eastAsiaTheme="minorHAnsi"/>
    </w:rPr>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TableNormal"/>
    <w:uiPriority w:val="99"/>
    <w:pPr>
      <w:widowControl w:val="0"/>
    </w:pPr>
    <w:rPr>
      <w:rFonts w:eastAsiaTheme="minorHAnsi"/>
    </w:rPr>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TableNormal"/>
    <w:uiPriority w:val="99"/>
    <w:pPr>
      <w:widowControl w:val="0"/>
    </w:pPr>
    <w:rPr>
      <w:rFonts w:eastAsiaTheme="minorHAnsi"/>
    </w:rPr>
    <w:tblPr>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1">
    <w:name w:val="List Table 4 - Accent 61"/>
    <w:basedOn w:val="TableNormal"/>
    <w:uiPriority w:val="99"/>
    <w:pPr>
      <w:widowControl w:val="0"/>
    </w:pPr>
    <w:rPr>
      <w:rFonts w:eastAsiaTheme="minorHAnsi"/>
    </w:rPr>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1">
    <w:name w:val="List Table 5 Dark1"/>
    <w:basedOn w:val="TableNormal"/>
    <w:uiPriority w:val="99"/>
    <w:pPr>
      <w:widowControl w:val="0"/>
    </w:pPr>
    <w:rPr>
      <w:rFonts w:eastAsiaTheme="minorHAnsi"/>
    </w:rPr>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widowControl w:val="0"/>
    </w:pPr>
    <w:rPr>
      <w:rFonts w:eastAsiaTheme="minorHAnsi"/>
    </w:rPr>
    <w:tblPr>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1">
    <w:name w:val="List Table 5 Dark - Accent 21"/>
    <w:basedOn w:val="TableNormal"/>
    <w:uiPriority w:val="99"/>
    <w:pPr>
      <w:widowControl w:val="0"/>
    </w:pPr>
    <w:rPr>
      <w:rFonts w:eastAsiaTheme="minorHAnsi"/>
    </w:rPr>
    <w:tblPr>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TableNormal"/>
    <w:uiPriority w:val="99"/>
    <w:pPr>
      <w:widowControl w:val="0"/>
    </w:pPr>
    <w:rPr>
      <w:rFonts w:eastAsiaTheme="minorHAnsi"/>
    </w:rPr>
    <w:tblPr>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TableNormal"/>
    <w:uiPriority w:val="99"/>
    <w:pPr>
      <w:widowControl w:val="0"/>
    </w:pPr>
    <w:rPr>
      <w:rFonts w:eastAsiaTheme="minorHAnsi"/>
    </w:rPr>
    <w:tblPr>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TableNormal"/>
    <w:uiPriority w:val="99"/>
    <w:pPr>
      <w:widowControl w:val="0"/>
    </w:pPr>
    <w:rPr>
      <w:rFonts w:eastAsiaTheme="minorHAnsi"/>
    </w:rPr>
    <w:tblPr>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1">
    <w:name w:val="List Table 5 Dark - Accent 61"/>
    <w:basedOn w:val="TableNormal"/>
    <w:uiPriority w:val="99"/>
    <w:pPr>
      <w:widowControl w:val="0"/>
    </w:pPr>
    <w:rPr>
      <w:rFonts w:eastAsiaTheme="minorHAnsi"/>
    </w:rPr>
    <w:tblPr>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Accent11">
    <w:name w:val="List Table 6 Colorful - Accent 11"/>
    <w:basedOn w:val="TableNormal"/>
    <w:uiPriority w:val="99"/>
    <w:pPr>
      <w:widowControl w:val="0"/>
    </w:pPr>
    <w:rPr>
      <w:rFonts w:eastAsiaTheme="minorHAnsi"/>
    </w:rPr>
    <w:tblPr>
      <w:tblBorders>
        <w:top w:val="single" w:sz="4" w:space="0" w:color="4472C4" w:themeColor="accent1"/>
        <w:bottom w:val="single" w:sz="4" w:space="0" w:color="4472C4" w:themeColor="accent1"/>
      </w:tblBorders>
    </w:tblPr>
    <w:tblStylePr w:type="firstRow">
      <w:rPr>
        <w:b/>
        <w:color w:val="244174" w:themeColor="accent1" w:themeShade="94"/>
      </w:rPr>
      <w:tblPr/>
      <w:tcPr>
        <w:tcBorders>
          <w:bottom w:val="single" w:sz="4" w:space="0" w:color="4472C4" w:themeColor="accent1"/>
        </w:tcBorders>
      </w:tcPr>
    </w:tblStylePr>
    <w:tblStylePr w:type="lastRow">
      <w:rPr>
        <w:b/>
        <w:color w:val="244174" w:themeColor="accent1" w:themeShade="94"/>
      </w:rPr>
      <w:tblPr/>
      <w:tcPr>
        <w:tcBorders>
          <w:top w:val="single" w:sz="4" w:space="0" w:color="4472C4" w:themeColor="accent1"/>
        </w:tcBorders>
      </w:tcPr>
    </w:tblStylePr>
    <w:tblStylePr w:type="firstCol">
      <w:rPr>
        <w:b/>
        <w:color w:val="244174" w:themeColor="accent1" w:themeShade="94"/>
      </w:rPr>
    </w:tblStylePr>
    <w:tblStylePr w:type="lastCol">
      <w:rPr>
        <w:b/>
        <w:color w:val="244174" w:themeColor="accent1" w:themeShade="94"/>
      </w:rPr>
    </w:tblStylePr>
    <w:tblStylePr w:type="band1Vert">
      <w:tblPr/>
      <w:tcPr>
        <w:shd w:val="clear" w:color="CFDBF0" w:themeColor="accent1" w:themeTint="40" w:fill="CFDBF0" w:themeFill="accent1" w:themeFillTint="40"/>
      </w:tcPr>
    </w:tblStylePr>
    <w:tblStylePr w:type="band1Horz">
      <w:rPr>
        <w:rFonts w:ascii="Arial" w:hAnsi="Arial"/>
        <w:color w:val="244174" w:themeColor="accent1" w:themeShade="94"/>
        <w:sz w:val="22"/>
      </w:rPr>
      <w:tblPr/>
      <w:tcPr>
        <w:shd w:val="clear" w:color="CFDBF0" w:themeColor="accent1" w:themeTint="40" w:fill="CFDBF0" w:themeFill="accent1" w:themeFillTint="40"/>
      </w:tcPr>
    </w:tblStylePr>
    <w:tblStylePr w:type="band2Horz">
      <w:rPr>
        <w:rFonts w:ascii="Arial" w:hAnsi="Arial"/>
        <w:color w:val="244174" w:themeColor="accent1" w:themeShade="94"/>
        <w:sz w:val="22"/>
      </w:rPr>
    </w:tblStylePr>
  </w:style>
  <w:style w:type="table" w:customStyle="1" w:styleId="ListTable6Colorful-Accent31">
    <w:name w:val="List Table 6 Colorful - Accent 31"/>
    <w:basedOn w:val="TableNormal"/>
    <w:uiPriority w:val="99"/>
    <w:pPr>
      <w:widowControl w:val="0"/>
    </w:pPr>
    <w:rPr>
      <w:rFonts w:eastAsiaTheme="minorHAnsi"/>
    </w:rPr>
    <w:tblPr>
      <w:tblBorders>
        <w:top w:val="single" w:sz="4" w:space="0" w:color="C9C9C9" w:themeColor="accent3" w:themeTint="98"/>
        <w:bottom w:val="single" w:sz="4" w:space="0" w:color="C9C9C9" w:themeColor="accent3" w:themeTint="98"/>
      </w:tblBorders>
    </w:tblPr>
    <w:tblStylePr w:type="firstRow">
      <w:rPr>
        <w:b/>
        <w:color w:val="C9C9C9" w:themeColor="accent3" w:themeTint="99"/>
      </w:rPr>
      <w:tblPr/>
      <w:tcPr>
        <w:tcBorders>
          <w:bottom w:val="single" w:sz="4" w:space="0" w:color="C9C9C9" w:themeColor="accent3" w:themeTint="98"/>
        </w:tcBorders>
      </w:tcPr>
    </w:tblStylePr>
    <w:tblStylePr w:type="lastRow">
      <w:rPr>
        <w:b/>
        <w:color w:val="C9C9C9" w:themeColor="accent3" w:themeTint="99"/>
      </w:rPr>
      <w:tblPr/>
      <w:tcPr>
        <w:tcBorders>
          <w:top w:val="single" w:sz="4" w:space="0" w:color="C9C9C9" w:themeColor="accent3" w:themeTint="98"/>
        </w:tcBorders>
      </w:tcPr>
    </w:tblStylePr>
    <w:tblStylePr w:type="firstCol">
      <w:rPr>
        <w:b/>
        <w:color w:val="C9C9C9" w:themeColor="accent3" w:themeTint="99"/>
      </w:rPr>
    </w:tblStylePr>
    <w:tblStylePr w:type="lastCol">
      <w:rPr>
        <w:b/>
        <w:color w:val="C9C9C9" w:themeColor="accent3" w:themeTint="99"/>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6Colorful-Accent41">
    <w:name w:val="List Table 6 Colorful - Accent 41"/>
    <w:basedOn w:val="TableNormal"/>
    <w:uiPriority w:val="99"/>
    <w:pPr>
      <w:widowControl w:val="0"/>
    </w:pPr>
    <w:rPr>
      <w:rFonts w:eastAsiaTheme="minorHAnsi"/>
    </w:rPr>
    <w:tblPr>
      <w:tblBorders>
        <w:top w:val="single" w:sz="4" w:space="0" w:color="FFD865" w:themeColor="accent4" w:themeTint="9A"/>
        <w:bottom w:val="single" w:sz="4" w:space="0" w:color="FFD865" w:themeColor="accent4" w:themeTint="9A"/>
      </w:tblBorders>
    </w:tblPr>
    <w:tblStylePr w:type="firstRow">
      <w:rPr>
        <w:b/>
        <w:color w:val="FFD966" w:themeColor="accent4" w:themeTint="99"/>
      </w:rPr>
      <w:tblPr/>
      <w:tcPr>
        <w:tcBorders>
          <w:bottom w:val="single" w:sz="4" w:space="0" w:color="FFD865" w:themeColor="accent4" w:themeTint="9A"/>
        </w:tcBorders>
      </w:tcPr>
    </w:tblStylePr>
    <w:tblStylePr w:type="lastRow">
      <w:rPr>
        <w:b/>
        <w:color w:val="FFD966" w:themeColor="accent4" w:themeTint="99"/>
      </w:rPr>
      <w:tblPr/>
      <w:tcPr>
        <w:tcBorders>
          <w:top w:val="single" w:sz="4" w:space="0" w:color="FFD865" w:themeColor="accent4" w:themeTint="9A"/>
        </w:tcBorders>
      </w:tcPr>
    </w:tblStylePr>
    <w:tblStylePr w:type="firstCol">
      <w:rPr>
        <w:b/>
        <w:color w:val="FFD966" w:themeColor="accent4" w:themeTint="99"/>
      </w:rPr>
    </w:tblStylePr>
    <w:tblStylePr w:type="lastCol">
      <w:rPr>
        <w:b/>
        <w:color w:val="FFD966" w:themeColor="accent4" w:themeTint="99"/>
      </w:r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6Colorful-Accent51">
    <w:name w:val="List Table 6 Colorful - Accent 51"/>
    <w:basedOn w:val="TableNormal"/>
    <w:uiPriority w:val="99"/>
    <w:pPr>
      <w:widowControl w:val="0"/>
    </w:pPr>
    <w:rPr>
      <w:rFonts w:eastAsiaTheme="minorHAnsi"/>
    </w:rPr>
    <w:tblPr>
      <w:tblBorders>
        <w:top w:val="single" w:sz="4" w:space="0" w:color="9BC2E5" w:themeColor="accent5" w:themeTint="9A"/>
        <w:bottom w:val="single" w:sz="4" w:space="0" w:color="9BC2E5" w:themeColor="accent5" w:themeTint="9A"/>
      </w:tblBorders>
    </w:tblPr>
    <w:tblStylePr w:type="firstRow">
      <w:rPr>
        <w:b/>
        <w:color w:val="9CC2E5" w:themeColor="accent5" w:themeTint="99"/>
      </w:rPr>
      <w:tblPr/>
      <w:tcPr>
        <w:tcBorders>
          <w:bottom w:val="single" w:sz="4" w:space="0" w:color="9BC2E5" w:themeColor="accent5" w:themeTint="9A"/>
        </w:tcBorders>
      </w:tcPr>
    </w:tblStylePr>
    <w:tblStylePr w:type="lastRow">
      <w:rPr>
        <w:b/>
        <w:color w:val="9CC2E5" w:themeColor="accent5" w:themeTint="99"/>
      </w:rPr>
      <w:tblPr/>
      <w:tcPr>
        <w:tcBorders>
          <w:top w:val="single" w:sz="4" w:space="0" w:color="9BC2E5" w:themeColor="accent5" w:themeTint="9A"/>
        </w:tcBorders>
      </w:tcPr>
    </w:tblStylePr>
    <w:tblStylePr w:type="firstCol">
      <w:rPr>
        <w:b/>
        <w:color w:val="9CC2E5" w:themeColor="accent5" w:themeTint="99"/>
      </w:rPr>
    </w:tblStylePr>
    <w:tblStylePr w:type="lastCol">
      <w:rPr>
        <w:b/>
        <w:color w:val="9CC2E5" w:themeColor="accent5" w:themeTint="99"/>
      </w:rPr>
    </w:tblStylePr>
    <w:tblStylePr w:type="band1Vert">
      <w:tblPr/>
      <w:tcPr>
        <w:shd w:val="clear" w:color="D5E5F4" w:themeColor="accent5" w:themeTint="40" w:fill="D5E5F4" w:themeFill="accent5" w:themeFillTint="40"/>
      </w:tcPr>
    </w:tblStylePr>
    <w:tblStylePr w:type="band1Horz">
      <w:rPr>
        <w:rFonts w:ascii="Arial" w:hAnsi="Arial"/>
        <w:color w:val="9CC2E5" w:themeColor="accent5" w:themeTint="99"/>
        <w:sz w:val="22"/>
      </w:rPr>
      <w:tblPr/>
      <w:tcPr>
        <w:shd w:val="clear" w:color="D5E5F4" w:themeColor="accent5" w:themeTint="40" w:fill="D5E5F4" w:themeFill="accent5" w:themeFillTint="40"/>
      </w:tcPr>
    </w:tblStylePr>
    <w:tblStylePr w:type="band2Horz">
      <w:rPr>
        <w:rFonts w:ascii="Arial" w:hAnsi="Arial"/>
        <w:color w:val="9CC2E5" w:themeColor="accent5" w:themeTint="99"/>
        <w:sz w:val="22"/>
      </w:rPr>
    </w:tblStylePr>
  </w:style>
  <w:style w:type="table" w:customStyle="1" w:styleId="ListTable6Colorful-Accent61">
    <w:name w:val="List Table 6 Colorful - Accent 61"/>
    <w:basedOn w:val="TableNormal"/>
    <w:uiPriority w:val="99"/>
    <w:pPr>
      <w:widowControl w:val="0"/>
    </w:pPr>
    <w:rPr>
      <w:rFonts w:eastAsiaTheme="minorHAnsi"/>
    </w:rPr>
    <w:tblPr>
      <w:tblBorders>
        <w:top w:val="single" w:sz="4" w:space="0" w:color="A9D08E" w:themeColor="accent6" w:themeTint="98"/>
        <w:bottom w:val="single" w:sz="4" w:space="0" w:color="A9D08E" w:themeColor="accent6" w:themeTint="98"/>
      </w:tblBorders>
    </w:tblPr>
    <w:tblStylePr w:type="firstRow">
      <w:rPr>
        <w:b/>
        <w:color w:val="A8D08D" w:themeColor="accent6" w:themeTint="99"/>
      </w:rPr>
      <w:tblPr/>
      <w:tcPr>
        <w:tcBorders>
          <w:bottom w:val="single" w:sz="4" w:space="0" w:color="A9D08E" w:themeColor="accent6" w:themeTint="98"/>
        </w:tcBorders>
      </w:tcPr>
    </w:tblStylePr>
    <w:tblStylePr w:type="lastRow">
      <w:rPr>
        <w:b/>
        <w:color w:val="A8D08D" w:themeColor="accent6" w:themeTint="99"/>
      </w:rPr>
      <w:tblPr/>
      <w:tcPr>
        <w:tcBorders>
          <w:top w:val="single" w:sz="4" w:space="0" w:color="A9D08E" w:themeColor="accent6" w:themeTint="98"/>
        </w:tcBorders>
      </w:tcPr>
    </w:tblStylePr>
    <w:tblStylePr w:type="firstCol">
      <w:rPr>
        <w:b/>
        <w:color w:val="A8D08D" w:themeColor="accent6" w:themeTint="99"/>
      </w:rPr>
    </w:tblStylePr>
    <w:tblStylePr w:type="lastCol">
      <w:rPr>
        <w:b/>
        <w:color w:val="A8D08D" w:themeColor="accent6" w:themeTint="99"/>
      </w:r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stTable7Colorful1">
    <w:name w:val="List Table 7 Colorful1"/>
    <w:basedOn w:val="TableNormal"/>
    <w:uiPriority w:val="99"/>
    <w:pPr>
      <w:widowControl w:val="0"/>
    </w:pPr>
    <w:rPr>
      <w:rFonts w:eastAsiaTheme="minorHAnsi"/>
    </w:rPr>
    <w:tblPr>
      <w:tblBorders>
        <w:right w:val="single" w:sz="4" w:space="0" w:color="7F7F7F" w:themeColor="text1" w:themeTint="80"/>
      </w:tblBorders>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1">
    <w:name w:val="List Table 7 Colorful - Accent 11"/>
    <w:basedOn w:val="TableNormal"/>
    <w:uiPriority w:val="99"/>
    <w:pPr>
      <w:widowControl w:val="0"/>
    </w:pPr>
    <w:rPr>
      <w:rFonts w:eastAsiaTheme="minorHAnsi"/>
    </w:rPr>
    <w:tblPr>
      <w:tblBorders>
        <w:right w:val="single" w:sz="4" w:space="0" w:color="4472C4" w:themeColor="accent1"/>
      </w:tblBorders>
    </w:tblPr>
    <w:tblStylePr w:type="firstRow">
      <w:rPr>
        <w:rFonts w:ascii="Arial" w:hAnsi="Arial"/>
        <w:i/>
        <w:color w:val="244174" w:themeColor="accent1" w:themeShade="94"/>
        <w:sz w:val="22"/>
      </w:rPr>
      <w:tblPr/>
      <w:tcPr>
        <w:tcBorders>
          <w:top w:val="nil"/>
          <w:left w:val="nil"/>
          <w:bottom w:val="single" w:sz="4" w:space="0" w:color="4472C4" w:themeColor="accent1"/>
          <w:right w:val="nil"/>
        </w:tcBorders>
        <w:shd w:val="clear" w:color="FFFFFF" w:themeColor="light1" w:fill="FFFFFF" w:themeFill="light1"/>
      </w:tcPr>
    </w:tblStylePr>
    <w:tblStylePr w:type="lastRow">
      <w:rPr>
        <w:rFonts w:ascii="Arial" w:hAnsi="Arial"/>
        <w:i/>
        <w:color w:val="244174" w:themeColor="accent1" w:themeShade="94"/>
        <w:sz w:val="22"/>
      </w:rPr>
      <w:tblPr/>
      <w:tcPr>
        <w:tcBorders>
          <w:top w:val="single" w:sz="4" w:space="0" w:color="4472C4" w:themeColor="accent1"/>
          <w:left w:val="nil"/>
          <w:bottom w:val="nil"/>
          <w:right w:val="nil"/>
        </w:tcBorders>
        <w:shd w:val="clear" w:color="FFFFFF" w:themeColor="light1" w:fill="FFFFFF" w:themeFill="light1"/>
      </w:tcPr>
    </w:tblStylePr>
    <w:tblStylePr w:type="firstCol">
      <w:pPr>
        <w:jc w:val="right"/>
      </w:pPr>
      <w:rPr>
        <w:rFonts w:ascii="Arial" w:hAnsi="Arial"/>
        <w:i/>
        <w:color w:val="244174" w:themeColor="accent1" w:themeShade="94"/>
        <w:sz w:val="22"/>
      </w:rPr>
      <w:tblPr/>
      <w:tcPr>
        <w:tcBorders>
          <w:top w:val="nil"/>
          <w:left w:val="nil"/>
          <w:bottom w:val="nil"/>
          <w:right w:val="single" w:sz="4" w:space="0" w:color="4472C4" w:themeColor="accent1"/>
        </w:tcBorders>
        <w:shd w:val="clear" w:color="FFFFFF" w:fill="auto"/>
      </w:tcPr>
    </w:tblStylePr>
    <w:tblStylePr w:type="lastCol">
      <w:rPr>
        <w:rFonts w:ascii="Arial" w:hAnsi="Arial"/>
        <w:i/>
        <w:color w:val="244174" w:themeColor="accent1" w:themeShade="94"/>
        <w:sz w:val="22"/>
      </w:rPr>
      <w:tblPr/>
      <w:tcPr>
        <w:tcBorders>
          <w:top w:val="nil"/>
          <w:left w:val="single" w:sz="4" w:space="0" w:color="4472C4" w:themeColor="accent1"/>
          <w:bottom w:val="nil"/>
          <w:right w:val="nil"/>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44174" w:themeColor="accent1" w:themeShade="94"/>
        <w:sz w:val="22"/>
      </w:rPr>
      <w:tblPr/>
      <w:tcPr>
        <w:shd w:val="clear" w:color="CFDBF0" w:themeColor="accent1" w:themeTint="40" w:fill="CFDBF0" w:themeFill="accent1" w:themeFillTint="40"/>
      </w:tcPr>
    </w:tblStylePr>
    <w:tblStylePr w:type="band2Horz">
      <w:rPr>
        <w:rFonts w:ascii="Arial" w:hAnsi="Arial"/>
        <w:color w:val="244174" w:themeColor="accent1" w:themeShade="94"/>
        <w:sz w:val="22"/>
      </w:rPr>
    </w:tblStylePr>
  </w:style>
  <w:style w:type="table" w:customStyle="1" w:styleId="ListTable7Colorful-Accent21">
    <w:name w:val="List Table 7 Colorful - Accent 21"/>
    <w:basedOn w:val="TableNormal"/>
    <w:uiPriority w:val="99"/>
    <w:pPr>
      <w:widowControl w:val="0"/>
    </w:pPr>
    <w:rPr>
      <w:rFonts w:eastAsiaTheme="minorHAnsi"/>
    </w:rPr>
    <w:tblPr>
      <w:tblBorders>
        <w:right w:val="single" w:sz="4" w:space="0" w:color="F4B184" w:themeColor="accent2" w:themeTint="97"/>
      </w:tblBorders>
    </w:tblPr>
    <w:tblStylePr w:type="firstRow">
      <w:rPr>
        <w:rFonts w:ascii="Arial" w:hAnsi="Arial"/>
        <w:i/>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i/>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7Colorful-Accent31">
    <w:name w:val="List Table 7 Colorful - Accent 31"/>
    <w:basedOn w:val="TableNormal"/>
    <w:uiPriority w:val="99"/>
    <w:pPr>
      <w:widowControl w:val="0"/>
    </w:pPr>
    <w:rPr>
      <w:rFonts w:eastAsiaTheme="minorHAnsi"/>
    </w:rPr>
    <w:tblPr>
      <w:tblBorders>
        <w:right w:val="single" w:sz="4" w:space="0" w:color="C9C9C9" w:themeColor="accent3" w:themeTint="98"/>
      </w:tblBorders>
    </w:tblPr>
    <w:tblStylePr w:type="firstRow">
      <w:rPr>
        <w:rFonts w:ascii="Arial" w:hAnsi="Arial"/>
        <w:i/>
        <w:color w:val="C9C9C9" w:themeColor="accent3" w:themeTint="99"/>
        <w:sz w:val="22"/>
      </w:rPr>
      <w:tblPr/>
      <w:tcPr>
        <w:tcBorders>
          <w:top w:val="nil"/>
          <w:left w:val="nil"/>
          <w:bottom w:val="single" w:sz="4" w:space="0" w:color="C9C9C9" w:themeColor="accent3" w:themeTint="98"/>
          <w:right w:val="nil"/>
        </w:tcBorders>
        <w:shd w:val="clear" w:color="FFFFFF" w:themeColor="light1" w:fill="FFFFFF" w:themeFill="light1"/>
      </w:tcPr>
    </w:tblStylePr>
    <w:tblStylePr w:type="lastRow">
      <w:rPr>
        <w:rFonts w:ascii="Arial" w:hAnsi="Arial"/>
        <w:i/>
        <w:color w:val="C9C9C9" w:themeColor="accent3" w:themeTint="99"/>
        <w:sz w:val="22"/>
      </w:rPr>
      <w:tblPr/>
      <w:tcPr>
        <w:tcBorders>
          <w:top w:val="single" w:sz="4" w:space="0" w:color="C9C9C9"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rPr>
      <w:tblPr/>
      <w:tcPr>
        <w:tcBorders>
          <w:top w:val="nil"/>
          <w:left w:val="nil"/>
          <w:bottom w:val="nil"/>
          <w:right w:val="single" w:sz="4" w:space="0" w:color="C9C9C9" w:themeColor="accent3" w:themeTint="98"/>
        </w:tcBorders>
        <w:shd w:val="clear" w:color="FFFFFF" w:fill="auto"/>
      </w:tcPr>
    </w:tblStylePr>
    <w:tblStylePr w:type="lastCol">
      <w:rPr>
        <w:rFonts w:ascii="Arial" w:hAnsi="Arial"/>
        <w:i/>
        <w:color w:val="C9C9C9" w:themeColor="accent3" w:themeTint="99"/>
        <w:sz w:val="22"/>
      </w:rPr>
      <w:tblPr/>
      <w:tcPr>
        <w:tcBorders>
          <w:top w:val="nil"/>
          <w:left w:val="single" w:sz="4" w:space="0" w:color="C9C9C9" w:themeColor="accent3" w:themeTint="98"/>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7Colorful-Accent41">
    <w:name w:val="List Table 7 Colorful - Accent 41"/>
    <w:basedOn w:val="TableNormal"/>
    <w:uiPriority w:val="99"/>
    <w:pPr>
      <w:widowControl w:val="0"/>
    </w:pPr>
    <w:rPr>
      <w:rFonts w:eastAsiaTheme="minorHAnsi"/>
    </w:rPr>
    <w:tblPr>
      <w:tblBorders>
        <w:right w:val="single" w:sz="4" w:space="0" w:color="FFD865" w:themeColor="accent4" w:themeTint="9A"/>
      </w:tblBorders>
    </w:tblPr>
    <w:tblStylePr w:type="firstRow">
      <w:rPr>
        <w:rFonts w:ascii="Arial" w:hAnsi="Arial"/>
        <w:i/>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i/>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7Colorful-Accent51">
    <w:name w:val="List Table 7 Colorful - Accent 51"/>
    <w:basedOn w:val="TableNormal"/>
    <w:uiPriority w:val="99"/>
    <w:pPr>
      <w:widowControl w:val="0"/>
    </w:pPr>
    <w:rPr>
      <w:rFonts w:eastAsiaTheme="minorHAnsi"/>
    </w:rPr>
    <w:tblPr>
      <w:tblBorders>
        <w:right w:val="single" w:sz="4" w:space="0" w:color="9BC2E5" w:themeColor="accent5" w:themeTint="9A"/>
      </w:tblBorders>
    </w:tblPr>
    <w:tblStylePr w:type="firstRow">
      <w:rPr>
        <w:rFonts w:ascii="Arial" w:hAnsi="Arial"/>
        <w:i/>
        <w:color w:val="9CC2E5" w:themeColor="accent5" w:themeTint="99"/>
        <w:sz w:val="22"/>
      </w:rPr>
      <w:tblPr/>
      <w:tcPr>
        <w:tcBorders>
          <w:top w:val="nil"/>
          <w:left w:val="nil"/>
          <w:bottom w:val="single" w:sz="4" w:space="0" w:color="9BC2E5" w:themeColor="accent5" w:themeTint="9A"/>
          <w:right w:val="nil"/>
        </w:tcBorders>
        <w:shd w:val="clear" w:color="FFFFFF" w:themeColor="light1" w:fill="FFFFFF" w:themeFill="light1"/>
      </w:tcPr>
    </w:tblStylePr>
    <w:tblStylePr w:type="lastRow">
      <w:rPr>
        <w:rFonts w:ascii="Arial" w:hAnsi="Arial"/>
        <w:i/>
        <w:color w:val="9CC2E5" w:themeColor="accent5" w:themeTint="99"/>
        <w:sz w:val="22"/>
      </w:rPr>
      <w:tblPr/>
      <w:tcPr>
        <w:tcBorders>
          <w:top w:val="single" w:sz="4" w:space="0" w:color="9BC2E5"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9CC2E5" w:themeColor="accent5" w:themeTint="99"/>
        <w:sz w:val="22"/>
      </w:rPr>
      <w:tblPr/>
      <w:tcPr>
        <w:tcBorders>
          <w:top w:val="nil"/>
          <w:left w:val="nil"/>
          <w:bottom w:val="nil"/>
          <w:right w:val="single" w:sz="4" w:space="0" w:color="9BC2E5" w:themeColor="accent5" w:themeTint="9A"/>
        </w:tcBorders>
        <w:shd w:val="clear" w:color="FFFFFF" w:fill="auto"/>
      </w:tcPr>
    </w:tblStylePr>
    <w:tblStylePr w:type="lastCol">
      <w:rPr>
        <w:rFonts w:ascii="Arial" w:hAnsi="Arial"/>
        <w:i/>
        <w:color w:val="9CC2E5" w:themeColor="accent5" w:themeTint="99"/>
        <w:sz w:val="22"/>
      </w:rPr>
      <w:tblPr/>
      <w:tcPr>
        <w:tcBorders>
          <w:top w:val="nil"/>
          <w:left w:val="single" w:sz="4" w:space="0" w:color="9BC2E5" w:themeColor="accent5" w:themeTint="9A"/>
          <w:bottom w:val="nil"/>
          <w:right w:val="nil"/>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CC2E5" w:themeColor="accent5" w:themeTint="99"/>
        <w:sz w:val="22"/>
      </w:rPr>
      <w:tblPr/>
      <w:tcPr>
        <w:shd w:val="clear" w:color="D5E5F4" w:themeColor="accent5" w:themeTint="40" w:fill="D5E5F4" w:themeFill="accent5" w:themeFillTint="40"/>
      </w:tcPr>
    </w:tblStylePr>
    <w:tblStylePr w:type="band2Horz">
      <w:rPr>
        <w:rFonts w:ascii="Arial" w:hAnsi="Arial"/>
        <w:color w:val="9CC2E5" w:themeColor="accent5" w:themeTint="99"/>
        <w:sz w:val="22"/>
      </w:rPr>
    </w:tblStylePr>
  </w:style>
  <w:style w:type="table" w:customStyle="1" w:styleId="ListTable7Colorful-Accent61">
    <w:name w:val="List Table 7 Colorful - Accent 61"/>
    <w:basedOn w:val="TableNormal"/>
    <w:uiPriority w:val="99"/>
    <w:qFormat/>
    <w:pPr>
      <w:widowControl w:val="0"/>
    </w:pPr>
    <w:rPr>
      <w:rFonts w:eastAsiaTheme="minorHAnsi"/>
    </w:rPr>
    <w:tblPr>
      <w:tblBorders>
        <w:right w:val="single" w:sz="4" w:space="0" w:color="A9D08E" w:themeColor="accent6" w:themeTint="98"/>
      </w:tblBorders>
    </w:tblPr>
    <w:tblStylePr w:type="firstRow">
      <w:rPr>
        <w:rFonts w:ascii="Arial" w:hAnsi="Arial"/>
        <w:i/>
        <w:color w:val="A8D08D" w:themeColor="accent6" w:themeTint="99"/>
        <w:sz w:val="22"/>
      </w:rPr>
      <w:tblPr/>
      <w:tcPr>
        <w:tcBorders>
          <w:top w:val="nil"/>
          <w:left w:val="nil"/>
          <w:bottom w:val="single" w:sz="4" w:space="0" w:color="A9D08E" w:themeColor="accent6" w:themeTint="98"/>
          <w:right w:val="nil"/>
        </w:tcBorders>
        <w:shd w:val="clear" w:color="FFFFFF" w:themeColor="light1" w:fill="FFFFFF" w:themeFill="light1"/>
      </w:tcPr>
    </w:tblStylePr>
    <w:tblStylePr w:type="lastRow">
      <w:rPr>
        <w:rFonts w:ascii="Arial" w:hAnsi="Arial"/>
        <w:i/>
        <w:color w:val="A8D08D" w:themeColor="accent6" w:themeTint="99"/>
        <w:sz w:val="22"/>
      </w:rPr>
      <w:tblPr/>
      <w:tcPr>
        <w:tcBorders>
          <w:top w:val="single" w:sz="4" w:space="0" w:color="A9D08E"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A8D08D" w:themeColor="accent6" w:themeTint="99"/>
        <w:sz w:val="22"/>
      </w:rPr>
      <w:tblPr/>
      <w:tcPr>
        <w:tcBorders>
          <w:top w:val="nil"/>
          <w:left w:val="nil"/>
          <w:bottom w:val="nil"/>
          <w:right w:val="single" w:sz="4" w:space="0" w:color="A9D08E" w:themeColor="accent6" w:themeTint="98"/>
        </w:tcBorders>
        <w:shd w:val="clear" w:color="FFFFFF" w:fill="auto"/>
      </w:tcPr>
    </w:tblStylePr>
    <w:tblStylePr w:type="lastCol">
      <w:rPr>
        <w:rFonts w:ascii="Arial" w:hAnsi="Arial"/>
        <w:i/>
        <w:color w:val="A8D08D" w:themeColor="accent6" w:themeTint="99"/>
        <w:sz w:val="22"/>
      </w:rPr>
      <w:tblPr/>
      <w:tcPr>
        <w:tcBorders>
          <w:top w:val="nil"/>
          <w:left w:val="single" w:sz="4" w:space="0" w:color="A9D08E" w:themeColor="accent6" w:themeTint="98"/>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ned-Accent">
    <w:name w:val="Lined - Accent"/>
    <w:basedOn w:val="TableNormal"/>
    <w:uiPriority w:val="99"/>
    <w:pPr>
      <w:widowControl w:val="0"/>
    </w:pPr>
    <w:rPr>
      <w:rFonts w:eastAsiaTheme="minorHAnsi"/>
      <w:color w:val="404040"/>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widowControl w:val="0"/>
    </w:pPr>
    <w:rPr>
      <w:rFonts w:eastAsiaTheme="minorHAnsi"/>
      <w:color w:val="404040"/>
    </w:rP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pPr>
      <w:widowControl w:val="0"/>
    </w:pPr>
    <w:rPr>
      <w:rFonts w:eastAsiaTheme="minorHAnsi"/>
      <w:color w:val="404040"/>
    </w:rP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pPr>
      <w:widowControl w:val="0"/>
    </w:pPr>
    <w:rPr>
      <w:rFonts w:eastAsiaTheme="minorHAnsi"/>
      <w:color w:val="404040"/>
    </w:rP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pPr>
      <w:widowControl w:val="0"/>
    </w:pPr>
    <w:rPr>
      <w:rFonts w:eastAsiaTheme="minorHAnsi"/>
      <w:color w:val="404040"/>
    </w:rP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pPr>
      <w:widowControl w:val="0"/>
    </w:pPr>
    <w:rPr>
      <w:rFonts w:eastAsiaTheme="minorHAnsi"/>
      <w:color w:val="404040"/>
    </w:rP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pPr>
      <w:widowControl w:val="0"/>
    </w:pPr>
    <w:rPr>
      <w:rFonts w:eastAsiaTheme="minorHAnsi"/>
      <w:color w:val="404040"/>
    </w:rP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pPr>
      <w:widowControl w:val="0"/>
    </w:pPr>
    <w:rPr>
      <w:rFonts w:eastAsiaTheme="minorHAnsi"/>
      <w:color w:val="40404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widowControl w:val="0"/>
    </w:pPr>
    <w:rPr>
      <w:rFonts w:eastAsiaTheme="minorHAnsi"/>
      <w:color w:val="404040"/>
    </w:rPr>
    <w:tblPr>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pPr>
      <w:widowControl w:val="0"/>
    </w:pPr>
    <w:rPr>
      <w:rFonts w:eastAsiaTheme="minorHAnsi"/>
      <w:color w:val="404040"/>
    </w:rPr>
    <w:tblPr>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pPr>
      <w:widowControl w:val="0"/>
    </w:pPr>
    <w:rPr>
      <w:rFonts w:eastAsiaTheme="minorHAnsi"/>
      <w:color w:val="404040"/>
    </w:rPr>
    <w:tblPr>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pPr>
      <w:widowControl w:val="0"/>
    </w:pPr>
    <w:rPr>
      <w:rFonts w:eastAsiaTheme="minorHAnsi"/>
      <w:color w:val="404040"/>
    </w:rPr>
    <w:tblPr>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pPr>
      <w:widowControl w:val="0"/>
    </w:pPr>
    <w:rPr>
      <w:rFonts w:eastAsiaTheme="minorHAnsi"/>
      <w:color w:val="404040"/>
    </w:rPr>
    <w:tblPr>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pPr>
      <w:widowControl w:val="0"/>
    </w:pPr>
    <w:rPr>
      <w:rFonts w:eastAsiaTheme="minorHAnsi"/>
      <w:color w:val="404040"/>
    </w:rPr>
    <w:tblPr>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pPr>
      <w:widowControl w:val="0"/>
    </w:pPr>
    <w:rPr>
      <w:rFonts w:eastAsiaTheme="minorHAnsi"/>
    </w:rPr>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widowControl w:val="0"/>
    </w:pPr>
    <w:rPr>
      <w:rFonts w:eastAsiaTheme="minorHAnsi"/>
    </w:rPr>
    <w:tblPr>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pPr>
      <w:widowControl w:val="0"/>
    </w:pPr>
    <w:rPr>
      <w:rFonts w:eastAsiaTheme="minorHAnsi"/>
    </w:rPr>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widowControl w:val="0"/>
    </w:pPr>
    <w:rPr>
      <w:rFonts w:eastAsiaTheme="minorHAnsi"/>
    </w:rPr>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widowControl w:val="0"/>
    </w:pPr>
    <w:rPr>
      <w:rFonts w:eastAsiaTheme="minorHAnsi"/>
    </w:rPr>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widowControl w:val="0"/>
    </w:pPr>
    <w:rPr>
      <w:rFonts w:eastAsiaTheme="minorHAnsi"/>
    </w:rPr>
    <w:tblPr>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pPr>
      <w:widowControl w:val="0"/>
    </w:pPr>
    <w:rPr>
      <w:rFonts w:eastAsiaTheme="minorHAnsi"/>
    </w:rPr>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style21">
    <w:name w:val="style21"/>
  </w:style>
  <w:style w:type="character" w:customStyle="1" w:styleId="ReferenceCharChar">
    <w:name w:val="Reference Char Char"/>
    <w:rPr>
      <w:rFonts w:ascii="Times New Roman" w:eastAsia="DengXian" w:hAnsi="Times New Roman" w:cs="Times New Roman"/>
      <w:kern w:val="0"/>
      <w:sz w:val="22"/>
      <w:szCs w:val="20"/>
      <w:lang w:val="ru-RU" w:eastAsia="ru-RU"/>
      <w14:ligatures w14:val="none"/>
    </w:rPr>
  </w:style>
  <w:style w:type="paragraph" w:customStyle="1" w:styleId="HeadingStyle14ptBoldBlackBefore6pt">
    <w:name w:val="Heading Style 14 pt Bold Black Before:  6 pt"/>
    <w:basedOn w:val="Normal"/>
    <w:pPr>
      <w:spacing w:before="240" w:after="120" w:line="240" w:lineRule="auto"/>
    </w:pPr>
    <w:rPr>
      <w:rFonts w:ascii="Times New Roman" w:eastAsia="DengXian" w:hAnsi="Times New Roman" w:cs="Times New Roman"/>
      <w:b/>
      <w:bCs/>
      <w:color w:val="000000"/>
      <w:sz w:val="28"/>
      <w:szCs w:val="24"/>
      <w:lang w:val="ru-RU" w:eastAsia="ru-RU"/>
    </w:rPr>
  </w:style>
  <w:style w:type="character" w:customStyle="1" w:styleId="ParagraphChar">
    <w:name w:val="Paragraph Char"/>
    <w:qFormat/>
    <w:rPr>
      <w:rFonts w:ascii="Times New Roman" w:eastAsia="Times New Roman" w:hAnsi="Times New Roman" w:cs="Times New Roman"/>
      <w:sz w:val="20"/>
      <w:szCs w:val="20"/>
      <w:lang w:val="en-US" w:eastAsia="en-US"/>
    </w:rPr>
  </w:style>
  <w:style w:type="paragraph" w:customStyle="1" w:styleId="Address0">
    <w:name w:val="Address"/>
    <w:basedOn w:val="Normal"/>
    <w:autoRedefine/>
    <w:qFormat/>
    <w:pPr>
      <w:autoSpaceDE w:val="0"/>
      <w:autoSpaceDN w:val="0"/>
      <w:adjustRightInd w:val="0"/>
      <w:spacing w:after="0" w:line="240" w:lineRule="auto"/>
      <w:jc w:val="center"/>
    </w:pPr>
    <w:rPr>
      <w:rFonts w:ascii="Arial" w:eastAsiaTheme="minorHAnsi" w:hAnsi="Arial" w:cs="Arial"/>
      <w:sz w:val="32"/>
      <w:szCs w:val="32"/>
      <w:lang w:val="en-IN"/>
    </w:rPr>
  </w:style>
  <w:style w:type="paragraph" w:customStyle="1" w:styleId="Abstract-Head">
    <w:name w:val="Abstract-Head"/>
    <w:basedOn w:val="Normal"/>
    <w:qFormat/>
    <w:pPr>
      <w:autoSpaceDE w:val="0"/>
      <w:autoSpaceDN w:val="0"/>
      <w:adjustRightInd w:val="0"/>
      <w:spacing w:before="540" w:after="130" w:line="240" w:lineRule="auto"/>
    </w:pPr>
    <w:rPr>
      <w:rFonts w:ascii="UniversLTStd-Bold" w:eastAsiaTheme="minorHAnsi" w:hAnsi="UniversLTStd-Bold" w:cs="UniversLTStd-Bold"/>
      <w:b/>
      <w:bCs/>
      <w:sz w:val="20"/>
      <w:szCs w:val="20"/>
      <w:lang w:val="en-IN"/>
    </w:rPr>
  </w:style>
  <w:style w:type="paragraph" w:customStyle="1" w:styleId="Abstract-Para">
    <w:name w:val="Abstract-Para"/>
    <w:basedOn w:val="Normal"/>
    <w:qFormat/>
    <w:pPr>
      <w:autoSpaceDE w:val="0"/>
      <w:autoSpaceDN w:val="0"/>
      <w:adjustRightInd w:val="0"/>
      <w:spacing w:after="0" w:line="240" w:lineRule="exact"/>
      <w:jc w:val="both"/>
    </w:pPr>
    <w:rPr>
      <w:rFonts w:ascii="Arial" w:eastAsiaTheme="minorHAnsi" w:hAnsi="Arial" w:cs="Arial"/>
      <w:sz w:val="18"/>
      <w:szCs w:val="18"/>
      <w:lang w:val="en-IN"/>
    </w:rPr>
  </w:style>
  <w:style w:type="paragraph" w:customStyle="1" w:styleId="Noindent-Para">
    <w:name w:val="Noindent-Para"/>
    <w:basedOn w:val="Normal"/>
    <w:qFormat/>
    <w:pPr>
      <w:spacing w:after="0" w:line="260" w:lineRule="exact"/>
      <w:jc w:val="both"/>
    </w:pPr>
    <w:rPr>
      <w:rFonts w:ascii="Times New Roman" w:eastAsiaTheme="minorHAnsi" w:hAnsi="Times New Roman" w:cs="Times New Roman"/>
      <w:lang w:val="en-IN"/>
    </w:rPr>
  </w:style>
  <w:style w:type="paragraph" w:customStyle="1" w:styleId="Indent-Para">
    <w:name w:val="Indent-Para"/>
    <w:basedOn w:val="Noindent-Para"/>
    <w:qFormat/>
    <w:pPr>
      <w:ind w:firstLine="240"/>
      <w:contextualSpacing/>
    </w:pPr>
  </w:style>
  <w:style w:type="paragraph" w:customStyle="1" w:styleId="Table">
    <w:name w:val="Table"/>
    <w:basedOn w:val="Noindent-Para"/>
    <w:qFormat/>
    <w:pPr>
      <w:jc w:val="left"/>
    </w:pPr>
    <w:rPr>
      <w:rFonts w:cs="SabonLTStd-R"/>
      <w:b/>
      <w:bCs/>
      <w:sz w:val="20"/>
      <w:szCs w:val="20"/>
    </w:rPr>
  </w:style>
  <w:style w:type="character" w:customStyle="1" w:styleId="citation-link">
    <w:name w:val="citation-link"/>
    <w:basedOn w:val="DefaultParagraphFont"/>
  </w:style>
  <w:style w:type="paragraph" w:customStyle="1" w:styleId="CaptionFigure">
    <w:name w:val="Caption Figure"/>
    <w:basedOn w:val="Caption"/>
    <w:link w:val="CaptionFigureChar"/>
    <w:qFormat/>
    <w:pPr>
      <w:keepNext w:val="0"/>
      <w:spacing w:after="0"/>
      <w:jc w:val="center"/>
    </w:pPr>
    <w:rPr>
      <w:rFonts w:eastAsiaTheme="minorHAnsi" w:cstheme="minorBidi"/>
      <w:b w:val="0"/>
      <w:bCs w:val="0"/>
      <w:iCs/>
      <w:sz w:val="24"/>
      <w:szCs w:val="18"/>
      <w:lang w:val="en-MY"/>
    </w:rPr>
  </w:style>
  <w:style w:type="character" w:customStyle="1" w:styleId="CaptionFigureChar">
    <w:name w:val="Caption Figure Char"/>
    <w:basedOn w:val="DefaultParagraphFont"/>
    <w:link w:val="CaptionFigure"/>
    <w:rPr>
      <w:rFonts w:ascii="Times New Roman" w:eastAsiaTheme="minorHAnsi" w:hAnsi="Times New Roman"/>
      <w:iCs/>
      <w:sz w:val="24"/>
      <w:szCs w:val="18"/>
      <w:lang w:val="en-MY"/>
    </w:rPr>
  </w:style>
  <w:style w:type="paragraph" w:customStyle="1" w:styleId="Style6">
    <w:name w:val="Style6"/>
    <w:basedOn w:val="Normal"/>
    <w:uiPriority w:val="99"/>
    <w:qFormat/>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TableGrid221">
    <w:name w:val="Table Grid221"/>
    <w:basedOn w:val="TableNormal"/>
    <w:rPr>
      <w:rFonts w:ascii="Calibri" w:eastAsia="Calibri" w:hAnsi="Calibri"/>
      <w:lang w:val="zh-C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611">
    <w:name w:val="Medium Shading 2 - Accent 611"/>
    <w:basedOn w:val="TableNormal"/>
    <w:uiPriority w:val="64"/>
    <w:rPr>
      <w:rFonts w:eastAsiaTheme="minorHAnsi"/>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121">
    <w:name w:val="Table Grid1121"/>
    <w:basedOn w:val="TableNormal"/>
    <w:uiPriority w:val="5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21">
    <w:name w:val="Medium Shading 2 - Accent 21"/>
    <w:basedOn w:val="TableNormal"/>
    <w:uiPriority w:val="64"/>
    <w:rPr>
      <w:rFonts w:eastAsia="Times New Roman"/>
    </w:rPr>
    <w:tblPr>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EndNoteCategoryHeading">
    <w:name w:val="EndNote Category Heading"/>
    <w:basedOn w:val="Normal"/>
    <w:link w:val="EndNoteCategoryHeading0"/>
    <w:pPr>
      <w:widowControl w:val="0"/>
      <w:spacing w:before="120" w:after="120" w:line="240" w:lineRule="auto"/>
    </w:pPr>
    <w:rPr>
      <w:rFonts w:eastAsiaTheme="minorEastAsia"/>
      <w:b/>
      <w:kern w:val="2"/>
      <w:sz w:val="21"/>
      <w:lang w:eastAsia="zh-CN"/>
      <w14:ligatures w14:val="standardContextual"/>
    </w:rPr>
  </w:style>
  <w:style w:type="character" w:customStyle="1" w:styleId="EndNoteCategoryHeading0">
    <w:name w:val="EndNote Category Heading 字符"/>
    <w:basedOn w:val="DefaultParagraphFont"/>
    <w:link w:val="EndNoteCategoryHeading"/>
    <w:rPr>
      <w:rFonts w:eastAsiaTheme="minorEastAsia"/>
      <w:b/>
      <w:kern w:val="2"/>
      <w:sz w:val="21"/>
      <w:lang w:eastAsia="zh-CN"/>
      <w14:ligatures w14:val="standardContextual"/>
    </w:rPr>
  </w:style>
  <w:style w:type="paragraph" w:customStyle="1" w:styleId="Tablescaption">
    <w:name w:val="Tables caption"/>
    <w:basedOn w:val="Normal"/>
    <w:qFormat/>
    <w:pPr>
      <w:spacing w:before="240" w:after="0" w:line="276" w:lineRule="auto"/>
      <w:jc w:val="center"/>
    </w:pPr>
    <w:rPr>
      <w:rFonts w:ascii="Times New Roman" w:eastAsia="Times New Roman" w:hAnsi="Times New Roman" w:cs="Times New Roman"/>
      <w:bCs/>
      <w:sz w:val="20"/>
      <w:szCs w:val="18"/>
    </w:rPr>
  </w:style>
  <w:style w:type="character" w:customStyle="1" w:styleId="EquationChar">
    <w:name w:val="Equation Char"/>
    <w:basedOn w:val="DefaultParagraphFont"/>
    <w:link w:val="Equation"/>
    <w:rPr>
      <w:rFonts w:ascii="Times New Roman" w:eastAsia="Cambria Math" w:hAnsi="Times New Roman" w:cs="Cambria Math"/>
      <w:sz w:val="24"/>
      <w:szCs w:val="24"/>
      <w:lang w:val="en-GB"/>
    </w:rPr>
  </w:style>
  <w:style w:type="paragraph" w:customStyle="1" w:styleId="Figurescaption">
    <w:name w:val="Figures caption"/>
    <w:next w:val="Normal"/>
    <w:pPr>
      <w:spacing w:line="276" w:lineRule="auto"/>
      <w:jc w:val="center"/>
    </w:pPr>
    <w:rPr>
      <w:rFonts w:eastAsia="Times New Roman"/>
      <w:szCs w:val="22"/>
    </w:rPr>
  </w:style>
  <w:style w:type="table" w:customStyle="1" w:styleId="33">
    <w:name w:val="三线表3"/>
    <w:basedOn w:val="TableNormal"/>
    <w:qFormat/>
    <w:rPr>
      <w:rFonts w:ascii="DengXian" w:eastAsia="DengXian" w:hAnsi="DengXian"/>
      <w:lang w:eastAsia="zh-CN"/>
    </w:rPr>
    <w:tblPr>
      <w:tblBorders>
        <w:top w:val="single" w:sz="12" w:space="0" w:color="auto"/>
        <w:bottom w:val="single" w:sz="12" w:space="0" w:color="auto"/>
      </w:tblBorders>
    </w:tblPr>
    <w:tblStylePr w:type="firstRow">
      <w:tblPr/>
      <w:tcPr>
        <w:tcBorders>
          <w:bottom w:val="single" w:sz="4" w:space="0" w:color="auto"/>
        </w:tcBorders>
      </w:tcPr>
    </w:tblStylePr>
  </w:style>
  <w:style w:type="table" w:customStyle="1" w:styleId="1f1">
    <w:name w:val="网格型1"/>
    <w:basedOn w:val="TableNormal"/>
    <w:uiPriority w:val="59"/>
    <w:qFormat/>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gd">
    <w:name w:val="_ogd"/>
    <w:basedOn w:val="DefaultParagraphFont"/>
  </w:style>
  <w:style w:type="character" w:customStyle="1" w:styleId="ft">
    <w:name w:val="ft"/>
    <w:basedOn w:val="DefaultParagraphFont"/>
  </w:style>
  <w:style w:type="paragraph" w:customStyle="1" w:styleId="Pa9">
    <w:name w:val="Pa9"/>
    <w:basedOn w:val="Default"/>
    <w:next w:val="Default"/>
    <w:uiPriority w:val="99"/>
    <w:pPr>
      <w:spacing w:line="421" w:lineRule="atLeast"/>
    </w:pPr>
    <w:rPr>
      <w:rFonts w:ascii="Tahoma" w:eastAsiaTheme="minorHAnsi" w:hAnsi="Tahoma" w:cs="Tahoma"/>
      <w:color w:val="auto"/>
    </w:rPr>
  </w:style>
  <w:style w:type="paragraph" w:customStyle="1" w:styleId="flex-active-slide">
    <w:name w:val="flex-active-slide"/>
    <w:basedOn w:val="Normal"/>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html-x">
    <w:name w:val="html-x"/>
    <w:basedOn w:val="Normal"/>
    <w:pPr>
      <w:spacing w:before="100" w:beforeAutospacing="1" w:after="100" w:afterAutospacing="1" w:line="240" w:lineRule="auto"/>
    </w:pPr>
    <w:rPr>
      <w:rFonts w:ascii="Times New Roman" w:eastAsia="Times New Roman" w:hAnsi="Times New Roman" w:cs="Times New Roman"/>
      <w:sz w:val="24"/>
      <w:szCs w:val="24"/>
      <w:lang w:val="en-MY" w:eastAsia="en-GB"/>
    </w:rPr>
  </w:style>
  <w:style w:type="paragraph" w:customStyle="1" w:styleId="p2">
    <w:name w:val="p2"/>
    <w:basedOn w:val="Normal"/>
    <w:pPr>
      <w:spacing w:after="0" w:line="240" w:lineRule="auto"/>
    </w:pPr>
    <w:rPr>
      <w:rFonts w:ascii="Helvetica Neue" w:eastAsiaTheme="minorHAnsi" w:hAnsi="Helvetica Neue" w:cs="Times New Roman"/>
      <w:sz w:val="20"/>
      <w:szCs w:val="20"/>
    </w:rPr>
  </w:style>
  <w:style w:type="character" w:customStyle="1" w:styleId="s1">
    <w:name w:val="s1"/>
    <w:basedOn w:val="DefaultParagraphFont"/>
    <w:rPr>
      <w:rtl w:val="0"/>
    </w:rPr>
  </w:style>
  <w:style w:type="character" w:customStyle="1" w:styleId="journal-name">
    <w:name w:val="journal-name"/>
    <w:basedOn w:val="DefaultParagraphFont"/>
  </w:style>
  <w:style w:type="character" w:customStyle="1" w:styleId="citation-doi">
    <w:name w:val="citation-doi"/>
    <w:basedOn w:val="DefaultParagraphFont"/>
  </w:style>
  <w:style w:type="character" w:customStyle="1" w:styleId="cit">
    <w:name w:val="cit"/>
    <w:basedOn w:val="DefaultParagraphFont"/>
  </w:style>
  <w:style w:type="character" w:customStyle="1" w:styleId="ej-journal-name">
    <w:name w:val="ej-journal-name"/>
    <w:basedOn w:val="DefaultParagraphFont"/>
  </w:style>
  <w:style w:type="paragraph" w:customStyle="1" w:styleId="UTEMPARA1">
    <w:name w:val="UTEM PARA 1"/>
    <w:basedOn w:val="Normal"/>
    <w:link w:val="UTEMPARA1Char"/>
    <w:autoRedefine/>
    <w:uiPriority w:val="4"/>
    <w:qFormat/>
    <w:pPr>
      <w:spacing w:before="120" w:after="120" w:line="480" w:lineRule="auto"/>
      <w:ind w:firstLine="720"/>
      <w:contextualSpacing/>
      <w:jc w:val="both"/>
    </w:pPr>
    <w:rPr>
      <w:rFonts w:ascii="Times New Roman" w:eastAsiaTheme="minorHAnsi" w:hAnsi="Times New Roman" w:cs="Times New Roman"/>
      <w:sz w:val="24"/>
      <w:szCs w:val="24"/>
      <w:lang w:val="ms-MY"/>
    </w:rPr>
  </w:style>
  <w:style w:type="paragraph" w:customStyle="1" w:styleId="NP1">
    <w:name w:val="N_P_1"/>
    <w:basedOn w:val="Normal"/>
    <w:link w:val="NP1Char"/>
    <w:qFormat/>
    <w:pPr>
      <w:spacing w:after="0" w:line="480" w:lineRule="auto"/>
      <w:ind w:firstLine="720"/>
      <w:jc w:val="both"/>
    </w:pPr>
    <w:rPr>
      <w:rFonts w:asciiTheme="majorBidi" w:eastAsiaTheme="minorHAnsi" w:hAnsiTheme="majorBidi" w:cstheme="majorBidi"/>
      <w:sz w:val="24"/>
      <w:szCs w:val="24"/>
      <w:lang w:val="en-GB"/>
    </w:rPr>
  </w:style>
  <w:style w:type="character" w:customStyle="1" w:styleId="NP1Char">
    <w:name w:val="N_P_1 Char"/>
    <w:basedOn w:val="DefaultParagraphFont"/>
    <w:link w:val="NP1"/>
    <w:rPr>
      <w:rFonts w:asciiTheme="majorBidi" w:eastAsiaTheme="minorHAnsi" w:hAnsiTheme="majorBidi" w:cstheme="majorBidi"/>
      <w:sz w:val="24"/>
      <w:szCs w:val="24"/>
      <w:lang w:val="en-GB"/>
    </w:rPr>
  </w:style>
  <w:style w:type="paragraph" w:customStyle="1" w:styleId="MidPara">
    <w:name w:val="Mid Para"/>
    <w:basedOn w:val="Normal"/>
    <w:next w:val="Normal"/>
    <w:link w:val="MidParaChar"/>
    <w:qFormat/>
    <w:pPr>
      <w:spacing w:after="0" w:line="480" w:lineRule="auto"/>
      <w:ind w:firstLine="692"/>
      <w:jc w:val="both"/>
    </w:pPr>
    <w:rPr>
      <w:rFonts w:asciiTheme="majorBidi" w:eastAsiaTheme="minorHAnsi" w:hAnsiTheme="majorBidi"/>
      <w:sz w:val="24"/>
      <w:szCs w:val="24"/>
      <w:lang w:val="en-GB"/>
    </w:rPr>
  </w:style>
  <w:style w:type="character" w:customStyle="1" w:styleId="MidParaChar">
    <w:name w:val="Mid Para Char"/>
    <w:basedOn w:val="DefaultParagraphFont"/>
    <w:link w:val="MidPara"/>
    <w:rPr>
      <w:rFonts w:asciiTheme="majorBidi" w:eastAsiaTheme="minorHAnsi" w:hAnsiTheme="majorBidi"/>
      <w:sz w:val="24"/>
      <w:szCs w:val="24"/>
      <w:lang w:val="en-GB"/>
    </w:rPr>
  </w:style>
  <w:style w:type="character" w:customStyle="1" w:styleId="UTEMPARA1Char">
    <w:name w:val="UTEM PARA 1 Char"/>
    <w:link w:val="UTEMPARA1"/>
    <w:uiPriority w:val="4"/>
    <w:rPr>
      <w:rFonts w:ascii="Times New Roman" w:eastAsiaTheme="minorHAnsi" w:hAnsi="Times New Roman" w:cs="Times New Roman"/>
      <w:sz w:val="24"/>
      <w:szCs w:val="24"/>
      <w:lang w:val="ms-MY"/>
    </w:rPr>
  </w:style>
  <w:style w:type="paragraph" w:customStyle="1" w:styleId="Midpara0">
    <w:name w:val="Mid para"/>
    <w:basedOn w:val="Normal"/>
    <w:link w:val="MidparaChar0"/>
    <w:pPr>
      <w:spacing w:after="0" w:line="480" w:lineRule="auto"/>
      <w:ind w:firstLine="720"/>
      <w:jc w:val="both"/>
    </w:pPr>
    <w:rPr>
      <w:rFonts w:ascii="Times New Roman" w:eastAsia="Calibri" w:hAnsi="Times New Roman" w:cs="Times New Roman"/>
      <w:sz w:val="24"/>
      <w:szCs w:val="24"/>
    </w:rPr>
  </w:style>
  <w:style w:type="character" w:customStyle="1" w:styleId="MidparaChar0">
    <w:name w:val="Mid para Char"/>
    <w:basedOn w:val="DefaultParagraphFont"/>
    <w:link w:val="Midpara0"/>
    <w:qFormat/>
    <w:rPr>
      <w:rFonts w:ascii="Times New Roman" w:eastAsia="Calibri" w:hAnsi="Times New Roman" w:cs="Times New Roman"/>
      <w:sz w:val="24"/>
      <w:szCs w:val="24"/>
    </w:rPr>
  </w:style>
  <w:style w:type="table" w:customStyle="1" w:styleId="TableClassic111">
    <w:name w:val="Table Classic 111"/>
    <w:basedOn w:val="TableNormal"/>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customStyle="1" w:styleId="name">
    <w:name w:val="name"/>
    <w:basedOn w:val="DefaultParagraphFont"/>
  </w:style>
  <w:style w:type="paragraph" w:customStyle="1" w:styleId="TitleChapter">
    <w:name w:val="Title Chapter"/>
    <w:basedOn w:val="Normal"/>
    <w:link w:val="TitleChapterChar"/>
    <w:pPr>
      <w:spacing w:after="0" w:line="480" w:lineRule="auto"/>
    </w:pPr>
    <w:rPr>
      <w:rFonts w:asciiTheme="majorBidi" w:eastAsiaTheme="minorHAnsi" w:hAnsiTheme="majorBidi"/>
      <w:sz w:val="24"/>
      <w:lang w:val="en-GB"/>
    </w:rPr>
  </w:style>
  <w:style w:type="character" w:customStyle="1" w:styleId="TitleChapterChar">
    <w:name w:val="Title Chapter Char"/>
    <w:basedOn w:val="DefaultParagraphFont"/>
    <w:link w:val="TitleChapter"/>
    <w:rPr>
      <w:rFonts w:asciiTheme="majorBidi" w:eastAsiaTheme="minorHAnsi" w:hAnsiTheme="majorBidi"/>
      <w:sz w:val="24"/>
      <w:lang w:val="en-GB"/>
    </w:rPr>
  </w:style>
  <w:style w:type="paragraph" w:customStyle="1" w:styleId="BodyText0">
    <w:name w:val="BodyText"/>
    <w:basedOn w:val="Normal"/>
    <w:pPr>
      <w:spacing w:after="0" w:line="480" w:lineRule="auto"/>
      <w:jc w:val="both"/>
    </w:pPr>
    <w:rPr>
      <w:rFonts w:ascii="Times New Roman" w:eastAsia="Calibri" w:hAnsi="Times New Roman" w:cs="Times New Roman"/>
      <w:sz w:val="24"/>
      <w:szCs w:val="24"/>
    </w:rPr>
  </w:style>
  <w:style w:type="paragraph" w:customStyle="1" w:styleId="Para2">
    <w:name w:val="Para"/>
    <w:basedOn w:val="Normal"/>
    <w:next w:val="Normal"/>
    <w:link w:val="ParaChar"/>
    <w:qFormat/>
    <w:pPr>
      <w:spacing w:after="0" w:line="480" w:lineRule="auto"/>
      <w:ind w:firstLine="692"/>
      <w:jc w:val="both"/>
    </w:pPr>
    <w:rPr>
      <w:rFonts w:asciiTheme="majorBidi" w:eastAsiaTheme="minorHAnsi" w:hAnsiTheme="majorBidi"/>
      <w:sz w:val="24"/>
      <w:lang w:val="en-GB"/>
    </w:rPr>
  </w:style>
  <w:style w:type="character" w:customStyle="1" w:styleId="ParaChar">
    <w:name w:val="Para Char"/>
    <w:basedOn w:val="DefaultParagraphFont"/>
    <w:link w:val="Para2"/>
    <w:rPr>
      <w:rFonts w:asciiTheme="majorBidi" w:eastAsiaTheme="minorHAnsi" w:hAnsiTheme="majorBidi"/>
      <w:sz w:val="24"/>
      <w:lang w:val="en-GB"/>
    </w:rPr>
  </w:style>
  <w:style w:type="paragraph" w:customStyle="1" w:styleId="LastPara">
    <w:name w:val="Last Para"/>
    <w:basedOn w:val="Normal"/>
    <w:next w:val="MidPara"/>
    <w:link w:val="LastParaChar"/>
    <w:qFormat/>
    <w:pPr>
      <w:spacing w:afterLines="200" w:after="480" w:line="480" w:lineRule="auto"/>
      <w:jc w:val="both"/>
    </w:pPr>
    <w:rPr>
      <w:rFonts w:asciiTheme="majorBidi" w:eastAsiaTheme="minorHAnsi" w:hAnsiTheme="majorBidi"/>
      <w:sz w:val="24"/>
      <w:lang w:val="en-GB"/>
    </w:rPr>
  </w:style>
  <w:style w:type="character" w:customStyle="1" w:styleId="LastParaChar">
    <w:name w:val="Last Para Char"/>
    <w:basedOn w:val="DefaultParagraphFont"/>
    <w:link w:val="LastPara"/>
    <w:rPr>
      <w:rFonts w:asciiTheme="majorBidi" w:eastAsiaTheme="minorHAnsi" w:hAnsiTheme="majorBidi"/>
      <w:sz w:val="24"/>
      <w:lang w:val="en-GB"/>
    </w:rPr>
  </w:style>
  <w:style w:type="paragraph" w:customStyle="1" w:styleId="Tablepara">
    <w:name w:val="Table para"/>
    <w:basedOn w:val="Normal"/>
    <w:link w:val="TableparaChar"/>
    <w:qFormat/>
    <w:pPr>
      <w:autoSpaceDE w:val="0"/>
      <w:autoSpaceDN w:val="0"/>
      <w:adjustRightInd w:val="0"/>
      <w:spacing w:before="60" w:after="60" w:line="240" w:lineRule="auto"/>
    </w:pPr>
    <w:rPr>
      <w:rFonts w:ascii="Times New Roman" w:eastAsia="Calibri" w:hAnsi="Times New Roman" w:cs="Times New Roman"/>
      <w:color w:val="000000" w:themeColor="text1"/>
      <w:sz w:val="20"/>
    </w:rPr>
  </w:style>
  <w:style w:type="character" w:customStyle="1" w:styleId="TableparaChar">
    <w:name w:val="Table para Char"/>
    <w:basedOn w:val="DefaultParagraphFont"/>
    <w:link w:val="Tablepara"/>
    <w:rPr>
      <w:rFonts w:ascii="Times New Roman" w:eastAsia="Calibri" w:hAnsi="Times New Roman" w:cs="Times New Roman"/>
      <w:color w:val="000000" w:themeColor="text1"/>
      <w:sz w:val="20"/>
    </w:rPr>
  </w:style>
  <w:style w:type="character" w:customStyle="1" w:styleId="citation-publication-date">
    <w:name w:val="citation-publication-date"/>
    <w:qFormat/>
    <w:rPr>
      <w:rFonts w:ascii="Calibri" w:eastAsia="Calibri" w:hAnsi="Calibri" w:cs="Times New Roman"/>
    </w:rPr>
  </w:style>
  <w:style w:type="character" w:customStyle="1" w:styleId="citation-volume">
    <w:name w:val="citation-volume"/>
    <w:qFormat/>
    <w:rPr>
      <w:rFonts w:ascii="Calibri" w:eastAsia="Calibri" w:hAnsi="Calibri" w:cs="Times New Roman"/>
    </w:rPr>
  </w:style>
  <w:style w:type="paragraph" w:customStyle="1" w:styleId="whitespace-normal">
    <w:name w:val="whitespace-normal"/>
    <w:basedOn w:val="Normal"/>
    <w:pPr>
      <w:spacing w:before="100" w:beforeAutospacing="1" w:after="100" w:afterAutospacing="1" w:line="240" w:lineRule="auto"/>
    </w:pPr>
    <w:rPr>
      <w:rFonts w:ascii="PMingLiU" w:eastAsia="PMingLiU" w:hAnsi="PMingLiU" w:cs="PMingLiU"/>
      <w:sz w:val="24"/>
      <w:szCs w:val="24"/>
      <w:lang w:eastAsia="zh-TW"/>
    </w:rPr>
  </w:style>
  <w:style w:type="paragraph" w:customStyle="1" w:styleId="ae">
    <w:name w:val="表格"/>
    <w:basedOn w:val="Normal"/>
    <w:qFormat/>
    <w:pPr>
      <w:widowControl w:val="0"/>
      <w:autoSpaceDE w:val="0"/>
      <w:autoSpaceDN w:val="0"/>
      <w:adjustRightInd w:val="0"/>
      <w:spacing w:after="0" w:line="240" w:lineRule="auto"/>
    </w:pPr>
    <w:rPr>
      <w:rFonts w:ascii="Times New Roman" w:eastAsia="MingLiU" w:hAnsi="Times New Roman" w:cs="Times New Roman" w:hint="eastAsia"/>
      <w:color w:val="000000"/>
      <w:sz w:val="21"/>
      <w:szCs w:val="20"/>
      <w:lang w:eastAsia="zh-CN"/>
    </w:rPr>
  </w:style>
  <w:style w:type="character" w:customStyle="1" w:styleId="font11">
    <w:name w:val="font11"/>
    <w:basedOn w:val="DefaultParagraphFont"/>
    <w:rPr>
      <w:rFonts w:ascii="SimSun" w:eastAsia="SimSun" w:hAnsi="SimSun" w:cs="SimSun" w:hint="eastAsia"/>
      <w:color w:val="000000"/>
      <w:sz w:val="22"/>
      <w:szCs w:val="22"/>
      <w:u w:val="none"/>
    </w:rPr>
  </w:style>
  <w:style w:type="character" w:customStyle="1" w:styleId="font01">
    <w:name w:val="font01"/>
    <w:basedOn w:val="DefaultParagraphFont"/>
    <w:rPr>
      <w:rFonts w:ascii="SimSun" w:eastAsia="SimSun" w:hAnsi="SimSun" w:cs="SimSun" w:hint="eastAsia"/>
      <w:b/>
      <w:bCs/>
      <w:color w:val="000000"/>
      <w:sz w:val="22"/>
      <w:szCs w:val="22"/>
      <w:u w:val="none"/>
    </w:rPr>
  </w:style>
  <w:style w:type="paragraph" w:customStyle="1" w:styleId="1f2">
    <w:name w:val="修订1"/>
    <w:hidden/>
    <w:uiPriority w:val="99"/>
    <w:qFormat/>
    <w:rPr>
      <w:rFonts w:ascii="DengXian" w:eastAsia="DengXian" w:hAnsi="DengXian"/>
      <w:kern w:val="2"/>
      <w:sz w:val="21"/>
      <w:szCs w:val="22"/>
      <w:lang w:eastAsia="zh-CN"/>
    </w:rPr>
  </w:style>
  <w:style w:type="paragraph" w:customStyle="1" w:styleId="11">
    <w:name w:val="标题 11"/>
    <w:basedOn w:val="Normal"/>
    <w:next w:val="Heading2"/>
    <w:uiPriority w:val="9"/>
    <w:qFormat/>
    <w:pPr>
      <w:keepNext/>
      <w:keepLines/>
      <w:numPr>
        <w:numId w:val="16"/>
      </w:numPr>
      <w:tabs>
        <w:tab w:val="clear" w:pos="113"/>
        <w:tab w:val="left" w:pos="360"/>
      </w:tabs>
      <w:spacing w:after="480" w:line="240" w:lineRule="auto"/>
      <w:jc w:val="center"/>
      <w:outlineLvl w:val="0"/>
    </w:pPr>
    <w:rPr>
      <w:rFonts w:ascii="Times New Roman" w:eastAsia="DengXian Light" w:hAnsi="Times New Roman" w:cs="Times New Roman"/>
      <w:b/>
      <w:sz w:val="24"/>
      <w:szCs w:val="32"/>
      <w:lang w:val="en-GB"/>
    </w:rPr>
  </w:style>
  <w:style w:type="paragraph" w:customStyle="1" w:styleId="21">
    <w:name w:val="标题 21"/>
    <w:basedOn w:val="Normal"/>
    <w:next w:val="Para1"/>
    <w:link w:val="23"/>
    <w:uiPriority w:val="9"/>
    <w:qFormat/>
    <w:pPr>
      <w:keepNext/>
      <w:keepLines/>
      <w:numPr>
        <w:ilvl w:val="1"/>
        <w:numId w:val="16"/>
      </w:numPr>
      <w:spacing w:before="480" w:after="0" w:line="480" w:lineRule="auto"/>
      <w:outlineLvl w:val="1"/>
    </w:pPr>
    <w:rPr>
      <w:rFonts w:ascii="Times New Roman" w:eastAsia="DengXian Light" w:hAnsi="Times New Roman" w:cs="Times New Roman"/>
      <w:b/>
      <w:kern w:val="2"/>
      <w:sz w:val="24"/>
      <w:szCs w:val="26"/>
      <w:lang w:val="en-GB"/>
      <w14:ligatures w14:val="standardContextual"/>
    </w:rPr>
  </w:style>
  <w:style w:type="paragraph" w:customStyle="1" w:styleId="31">
    <w:name w:val="标题 31"/>
    <w:basedOn w:val="Normal"/>
    <w:next w:val="Para1"/>
    <w:uiPriority w:val="9"/>
    <w:qFormat/>
    <w:pPr>
      <w:keepNext/>
      <w:keepLines/>
      <w:numPr>
        <w:ilvl w:val="2"/>
        <w:numId w:val="16"/>
      </w:numPr>
      <w:tabs>
        <w:tab w:val="clear" w:pos="720"/>
        <w:tab w:val="left" w:pos="360"/>
      </w:tabs>
      <w:spacing w:before="480" w:after="0" w:line="480" w:lineRule="auto"/>
      <w:outlineLvl w:val="2"/>
    </w:pPr>
    <w:rPr>
      <w:rFonts w:ascii="Times New Roman" w:eastAsia="DengXian Light" w:hAnsi="Times New Roman" w:cs="Times New Roman"/>
      <w:b/>
      <w:color w:val="FF0000"/>
      <w:sz w:val="24"/>
      <w:szCs w:val="24"/>
      <w:lang w:val="en-GB"/>
    </w:rPr>
  </w:style>
  <w:style w:type="paragraph" w:customStyle="1" w:styleId="41">
    <w:name w:val="标题 41"/>
    <w:basedOn w:val="Normal"/>
    <w:next w:val="Para1"/>
    <w:uiPriority w:val="9"/>
    <w:qFormat/>
    <w:pPr>
      <w:keepNext/>
      <w:keepLines/>
      <w:numPr>
        <w:ilvl w:val="3"/>
        <w:numId w:val="16"/>
      </w:numPr>
      <w:tabs>
        <w:tab w:val="clear" w:pos="1008"/>
        <w:tab w:val="left" w:pos="360"/>
      </w:tabs>
      <w:spacing w:before="240" w:after="240" w:line="240" w:lineRule="auto"/>
      <w:jc w:val="both"/>
      <w:outlineLvl w:val="3"/>
    </w:pPr>
    <w:rPr>
      <w:rFonts w:ascii="Times New Roman" w:eastAsia="Calibri" w:hAnsi="Times New Roman" w:cs="Times New Roman"/>
      <w:b/>
      <w:iCs/>
      <w:sz w:val="24"/>
      <w:lang w:val="en-GB"/>
    </w:rPr>
  </w:style>
  <w:style w:type="paragraph" w:customStyle="1" w:styleId="51">
    <w:name w:val="标题 51"/>
    <w:basedOn w:val="Normal"/>
    <w:next w:val="Normal"/>
    <w:uiPriority w:val="9"/>
    <w:qFormat/>
    <w:pPr>
      <w:keepNext/>
      <w:keepLines/>
      <w:numPr>
        <w:ilvl w:val="4"/>
        <w:numId w:val="16"/>
      </w:numPr>
      <w:spacing w:before="240" w:after="240" w:line="240" w:lineRule="auto"/>
      <w:jc w:val="both"/>
      <w:outlineLvl w:val="4"/>
    </w:pPr>
    <w:rPr>
      <w:rFonts w:ascii="Times New Roman" w:eastAsia="DengXian Light" w:hAnsi="Times New Roman" w:cs="Times New Roman"/>
      <w:b/>
      <w:sz w:val="24"/>
      <w:lang w:val="en-GB" w:eastAsia="zh-CN"/>
    </w:rPr>
  </w:style>
  <w:style w:type="paragraph" w:customStyle="1" w:styleId="61">
    <w:name w:val="标题 61"/>
    <w:basedOn w:val="Normal"/>
    <w:next w:val="Normal"/>
    <w:uiPriority w:val="9"/>
    <w:qFormat/>
    <w:pPr>
      <w:keepNext/>
      <w:keepLines/>
      <w:numPr>
        <w:ilvl w:val="5"/>
        <w:numId w:val="16"/>
      </w:numPr>
      <w:tabs>
        <w:tab w:val="left" w:pos="360"/>
      </w:tabs>
      <w:spacing w:before="240" w:after="240" w:line="240" w:lineRule="auto"/>
      <w:outlineLvl w:val="5"/>
    </w:pPr>
    <w:rPr>
      <w:rFonts w:ascii="Times New Roman" w:eastAsia="DengXian Light" w:hAnsi="Times New Roman" w:cs="Times New Roman"/>
      <w:b/>
      <w:sz w:val="24"/>
      <w:lang w:val="en-GB"/>
    </w:rPr>
  </w:style>
  <w:style w:type="paragraph" w:customStyle="1" w:styleId="71">
    <w:name w:val="标题 71"/>
    <w:basedOn w:val="Normal"/>
    <w:next w:val="Normal"/>
    <w:uiPriority w:val="9"/>
    <w:qFormat/>
    <w:pPr>
      <w:keepNext/>
      <w:keepLines/>
      <w:numPr>
        <w:ilvl w:val="6"/>
        <w:numId w:val="16"/>
      </w:numPr>
      <w:tabs>
        <w:tab w:val="left" w:pos="360"/>
      </w:tabs>
      <w:spacing w:before="40" w:after="0" w:line="276" w:lineRule="auto"/>
      <w:outlineLvl w:val="6"/>
    </w:pPr>
    <w:rPr>
      <w:rFonts w:ascii="DengXian Light" w:eastAsia="DengXian Light" w:hAnsi="DengXian Light" w:cs="Times New Roman"/>
      <w:i/>
      <w:iCs/>
      <w:color w:val="1F3763"/>
      <w:lang w:val="en-GB"/>
    </w:rPr>
  </w:style>
  <w:style w:type="paragraph" w:customStyle="1" w:styleId="81">
    <w:name w:val="标题 81"/>
    <w:basedOn w:val="Normal"/>
    <w:next w:val="Normal"/>
    <w:uiPriority w:val="9"/>
    <w:qFormat/>
    <w:pPr>
      <w:keepNext/>
      <w:keepLines/>
      <w:numPr>
        <w:ilvl w:val="7"/>
        <w:numId w:val="16"/>
      </w:numPr>
      <w:tabs>
        <w:tab w:val="left" w:pos="360"/>
      </w:tabs>
      <w:spacing w:before="40" w:after="0" w:line="276" w:lineRule="auto"/>
      <w:outlineLvl w:val="7"/>
    </w:pPr>
    <w:rPr>
      <w:rFonts w:ascii="DengXian Light" w:eastAsia="DengXian Light" w:hAnsi="DengXian Light" w:cs="Times New Roman"/>
      <w:color w:val="272727"/>
      <w:sz w:val="21"/>
      <w:szCs w:val="21"/>
      <w:lang w:val="en-GB"/>
    </w:rPr>
  </w:style>
  <w:style w:type="paragraph" w:customStyle="1" w:styleId="91">
    <w:name w:val="标题 91"/>
    <w:basedOn w:val="Normal"/>
    <w:next w:val="Normal"/>
    <w:uiPriority w:val="9"/>
    <w:qFormat/>
    <w:pPr>
      <w:keepNext/>
      <w:keepLines/>
      <w:numPr>
        <w:ilvl w:val="8"/>
        <w:numId w:val="16"/>
      </w:numPr>
      <w:tabs>
        <w:tab w:val="left" w:pos="360"/>
      </w:tabs>
      <w:spacing w:before="40" w:after="0" w:line="276" w:lineRule="auto"/>
      <w:outlineLvl w:val="8"/>
    </w:pPr>
    <w:rPr>
      <w:rFonts w:ascii="DengXian Light" w:eastAsia="DengXian Light" w:hAnsi="DengXian Light" w:cs="Times New Roman"/>
      <w:i/>
      <w:iCs/>
      <w:color w:val="272727"/>
      <w:sz w:val="21"/>
      <w:szCs w:val="21"/>
      <w:lang w:val="en-GB"/>
    </w:rPr>
  </w:style>
  <w:style w:type="paragraph" w:customStyle="1" w:styleId="1f3">
    <w:name w:val="副标题1"/>
    <w:basedOn w:val="Normal"/>
    <w:next w:val="Normal"/>
    <w:uiPriority w:val="11"/>
    <w:qFormat/>
    <w:pPr>
      <w:spacing w:after="60" w:line="240" w:lineRule="auto"/>
      <w:jc w:val="center"/>
      <w:outlineLvl w:val="1"/>
    </w:pPr>
    <w:rPr>
      <w:rFonts w:ascii="DengXian Light" w:eastAsia="DengXian Light" w:hAnsi="DengXian Light" w:cs="Times New Roman"/>
      <w:sz w:val="24"/>
      <w:szCs w:val="24"/>
      <w:lang w:val="en-GB"/>
    </w:rPr>
  </w:style>
  <w:style w:type="character" w:customStyle="1" w:styleId="af">
    <w:name w:val="脚注文本 字符"/>
    <w:basedOn w:val="DefaultParagraphFont"/>
    <w:link w:val="1f4"/>
    <w:uiPriority w:val="99"/>
    <w:qFormat/>
    <w:rPr>
      <w:sz w:val="18"/>
      <w:szCs w:val="18"/>
    </w:rPr>
  </w:style>
  <w:style w:type="paragraph" w:customStyle="1" w:styleId="1f4">
    <w:name w:val="脚注文本1"/>
    <w:basedOn w:val="Normal"/>
    <w:next w:val="FootnoteText"/>
    <w:link w:val="af"/>
    <w:uiPriority w:val="99"/>
    <w:unhideWhenUsed/>
    <w:qFormat/>
    <w:pPr>
      <w:spacing w:after="0" w:line="240" w:lineRule="auto"/>
    </w:pPr>
    <w:rPr>
      <w:sz w:val="18"/>
      <w:szCs w:val="18"/>
    </w:rPr>
  </w:style>
  <w:style w:type="paragraph" w:customStyle="1" w:styleId="1f5">
    <w:name w:val="图表目录1"/>
    <w:basedOn w:val="Normal"/>
    <w:next w:val="Normal"/>
    <w:uiPriority w:val="99"/>
    <w:unhideWhenUsed/>
    <w:pPr>
      <w:tabs>
        <w:tab w:val="right" w:leader="dot" w:pos="8188"/>
      </w:tabs>
      <w:spacing w:after="120" w:line="360" w:lineRule="auto"/>
      <w:ind w:left="1440" w:right="432" w:hanging="1440"/>
      <w:jc w:val="both"/>
    </w:pPr>
    <w:rPr>
      <w:rFonts w:ascii="Times New Roman" w:eastAsiaTheme="minorEastAsia" w:hAnsi="Times New Roman" w:cs="DengXian"/>
      <w:sz w:val="24"/>
      <w:szCs w:val="20"/>
      <w:lang w:val="en-GB"/>
    </w:rPr>
  </w:style>
  <w:style w:type="table" w:customStyle="1" w:styleId="1f6">
    <w:name w:val="浅色列表1"/>
    <w:basedOn w:val="TableNormal"/>
    <w:uiPriority w:val="61"/>
    <w:semiHidden/>
    <w:unhideWhenUsed/>
    <w:qFormat/>
    <w:rPr>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1">
    <w:name w:val="浅色列表 - 着色 31"/>
    <w:basedOn w:val="TableNormal"/>
    <w:uiPriority w:val="61"/>
    <w:rPr>
      <w:rFonts w:eastAsiaTheme="minorEastAsia"/>
      <w:lang w:val="en-MY"/>
    </w:rPr>
    <w:tblPr>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2-51">
    <w:name w:val="中等深浅底纹 2 - 着色 51"/>
    <w:basedOn w:val="TableNormal"/>
    <w:uiPriority w:val="64"/>
    <w:semiHidden/>
    <w:unhideWhenUsed/>
    <w:qFormat/>
    <w:rPr>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7">
    <w:name w:val="访问过的超链接1"/>
    <w:basedOn w:val="DefaultParagraphFont"/>
    <w:uiPriority w:val="99"/>
    <w:semiHidden/>
    <w:unhideWhenUsed/>
    <w:qFormat/>
    <w:rPr>
      <w:color w:val="954F72"/>
      <w:u w:val="single"/>
    </w:rPr>
  </w:style>
  <w:style w:type="character" w:customStyle="1" w:styleId="HyperlinkTable1">
    <w:name w:val="Hyperlink_Table1"/>
    <w:basedOn w:val="DefaultParagraphFont"/>
    <w:uiPriority w:val="99"/>
    <w:unhideWhenUsed/>
    <w:qFormat/>
    <w:rPr>
      <w:color w:val="0563C1"/>
      <w:u w:val="single"/>
    </w:rPr>
  </w:style>
  <w:style w:type="character" w:customStyle="1" w:styleId="23">
    <w:name w:val="标题 2 字符"/>
    <w:basedOn w:val="DefaultParagraphFont"/>
    <w:link w:val="21"/>
    <w:uiPriority w:val="9"/>
    <w:rPr>
      <w:rFonts w:ascii="Times New Roman" w:eastAsia="DengXian Light" w:hAnsi="Times New Roman" w:cs="Times New Roman"/>
      <w:b/>
      <w:kern w:val="2"/>
      <w:sz w:val="24"/>
      <w:szCs w:val="26"/>
      <w:lang w:val="en-GB"/>
      <w14:ligatures w14:val="standardContextual"/>
    </w:rPr>
  </w:style>
  <w:style w:type="paragraph" w:customStyle="1" w:styleId="post-time">
    <w:name w:val="post-time"/>
    <w:basedOn w:val="Normal"/>
    <w:qFormat/>
    <w:pPr>
      <w:spacing w:before="100" w:beforeAutospacing="1" w:after="100" w:afterAutospacing="1" w:line="240" w:lineRule="auto"/>
    </w:pPr>
    <w:rPr>
      <w:rFonts w:ascii="SimSun" w:eastAsia="SimSun" w:hAnsi="SimSun" w:cs="SimSun"/>
      <w:sz w:val="24"/>
      <w:szCs w:val="24"/>
      <w:lang w:val="en-GB"/>
    </w:rPr>
  </w:style>
  <w:style w:type="paragraph" w:customStyle="1" w:styleId="1">
    <w:name w:val="样式1"/>
    <w:basedOn w:val="Heading2"/>
    <w:link w:val="1f8"/>
    <w:pPr>
      <w:numPr>
        <w:ilvl w:val="1"/>
        <w:numId w:val="17"/>
      </w:numPr>
      <w:spacing w:before="480"/>
    </w:pPr>
    <w:rPr>
      <w:rFonts w:ascii="Times New Roman" w:hAnsi="Times New Roman"/>
      <w:bCs w:val="0"/>
      <w:color w:val="auto"/>
      <w:kern w:val="2"/>
      <w:sz w:val="24"/>
      <w:lang w:val="en-GB" w:bidi="ar-SA"/>
      <w14:ligatures w14:val="standardContextual"/>
    </w:rPr>
  </w:style>
  <w:style w:type="table" w:customStyle="1" w:styleId="210">
    <w:name w:val="无格式表格 21"/>
    <w:basedOn w:val="TableNormal"/>
    <w:uiPriority w:val="42"/>
    <w:qFormat/>
    <w:rPr>
      <w:lang w:eastAsia="zh-C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1">
    <w:name w:val="无格式表格 11"/>
    <w:basedOn w:val="TableNormal"/>
    <w:uiPriority w:val="41"/>
    <w:qFormat/>
    <w:rPr>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24">
    <w:name w:val="修订2"/>
    <w:hidden/>
    <w:uiPriority w:val="99"/>
    <w:unhideWhenUsed/>
    <w:qFormat/>
    <w:rPr>
      <w:rFonts w:eastAsiaTheme="minorEastAsia"/>
      <w:sz w:val="24"/>
      <w:szCs w:val="24"/>
      <w:lang w:val="en-GB"/>
    </w:rPr>
  </w:style>
  <w:style w:type="character" w:customStyle="1" w:styleId="1f8">
    <w:name w:val="样式1 字符"/>
    <w:basedOn w:val="23"/>
    <w:link w:val="1"/>
    <w:qFormat/>
    <w:rPr>
      <w:rFonts w:ascii="Times New Roman" w:eastAsiaTheme="majorEastAsia" w:hAnsi="Times New Roman" w:cstheme="majorBidi"/>
      <w:b/>
      <w:kern w:val="2"/>
      <w:sz w:val="24"/>
      <w:szCs w:val="26"/>
      <w:lang w:val="en-GB"/>
      <w14:ligatures w14:val="standardContextual"/>
    </w:rPr>
  </w:style>
  <w:style w:type="paragraph" w:customStyle="1" w:styleId="colortext1">
    <w:name w:val="color_text_1"/>
    <w:basedOn w:val="Normal"/>
    <w:qFormat/>
    <w:pPr>
      <w:spacing w:before="100" w:beforeAutospacing="1" w:after="100" w:afterAutospacing="1" w:line="240" w:lineRule="auto"/>
    </w:pPr>
    <w:rPr>
      <w:rFonts w:ascii="SimSun" w:eastAsia="SimSun" w:hAnsi="SimSun" w:cs="SimSun"/>
      <w:sz w:val="24"/>
      <w:szCs w:val="24"/>
      <w:lang w:val="en-GB" w:eastAsia="zh-CN"/>
    </w:rPr>
  </w:style>
  <w:style w:type="table" w:customStyle="1" w:styleId="310">
    <w:name w:val="无格式表格 31"/>
    <w:basedOn w:val="TableNormal"/>
    <w:uiPriority w:val="43"/>
    <w:qFormat/>
    <w:rPr>
      <w:lang w:eastAsia="zh-CN"/>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80">
    <w:name w:val="未处理的提及8"/>
    <w:basedOn w:val="DefaultParagraphFont"/>
    <w:uiPriority w:val="99"/>
    <w:semiHidden/>
    <w:unhideWhenUsed/>
    <w:qFormat/>
    <w:rPr>
      <w:color w:val="605E5C"/>
      <w:shd w:val="clear" w:color="auto" w:fill="E1DFDD"/>
    </w:rPr>
  </w:style>
  <w:style w:type="character" w:customStyle="1" w:styleId="25">
    <w:name w:val="不明显参考2"/>
    <w:basedOn w:val="DefaultParagraphFont"/>
    <w:uiPriority w:val="31"/>
    <w:qFormat/>
    <w:rPr>
      <w:sz w:val="24"/>
      <w:szCs w:val="24"/>
      <w:u w:val="single"/>
    </w:rPr>
  </w:style>
  <w:style w:type="character" w:customStyle="1" w:styleId="26">
    <w:name w:val="不明显强调2"/>
    <w:uiPriority w:val="19"/>
    <w:qFormat/>
    <w:rPr>
      <w:rFonts w:ascii="Times New Roman" w:hAnsi="Times New Roman"/>
      <w:i/>
      <w:color w:val="auto"/>
      <w:sz w:val="24"/>
    </w:rPr>
  </w:style>
  <w:style w:type="character" w:customStyle="1" w:styleId="27">
    <w:name w:val="明显参考2"/>
    <w:basedOn w:val="DefaultParagraphFont"/>
    <w:uiPriority w:val="32"/>
    <w:qFormat/>
    <w:rPr>
      <w:b/>
      <w:sz w:val="24"/>
      <w:u w:val="single"/>
    </w:rPr>
  </w:style>
  <w:style w:type="character" w:customStyle="1" w:styleId="28">
    <w:name w:val="明显强调2"/>
    <w:basedOn w:val="DefaultParagraphFont"/>
    <w:uiPriority w:val="21"/>
    <w:qFormat/>
    <w:rPr>
      <w:b/>
      <w:i/>
      <w:sz w:val="24"/>
      <w:szCs w:val="24"/>
      <w:u w:val="single"/>
    </w:rPr>
  </w:style>
  <w:style w:type="table" w:customStyle="1" w:styleId="-311">
    <w:name w:val="浅色列表 - 着色 311"/>
    <w:basedOn w:val="TableNormal"/>
    <w:uiPriority w:val="61"/>
    <w:qFormat/>
    <w:rPr>
      <w:rFonts w:ascii="DengXian" w:eastAsia="DengXian" w:hAnsi="DengXian"/>
      <w:lang w:val="en-MY"/>
    </w:rPr>
    <w:tblPr>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90">
    <w:name w:val="未处理的提及9"/>
    <w:basedOn w:val="DefaultParagraphFont"/>
    <w:uiPriority w:val="99"/>
    <w:semiHidden/>
    <w:unhideWhenUsed/>
    <w:qFormat/>
    <w:rPr>
      <w:color w:val="605E5C"/>
      <w:shd w:val="clear" w:color="auto" w:fill="E1DFDD"/>
    </w:rPr>
  </w:style>
  <w:style w:type="table" w:customStyle="1" w:styleId="2-511">
    <w:name w:val="中等深浅底纹 2 - 着色 511"/>
    <w:basedOn w:val="TableNormal"/>
    <w:uiPriority w:val="64"/>
    <w:qFormat/>
    <w:rPr>
      <w:rFonts w:ascii="DengXian" w:eastAsia="DengXian" w:hAnsi="DengXian"/>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31">
    <w:name w:val="网格表 4 - 着色 31"/>
    <w:basedOn w:val="TableNormal"/>
    <w:uiPriority w:val="49"/>
    <w:qFormat/>
    <w:rPr>
      <w:rFonts w:ascii="DengXian" w:eastAsia="DengXian" w:hAnsi="DengXian"/>
      <w:szCs w:val="21"/>
      <w:lang w:eastAsia="zh-CN"/>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12">
    <w:name w:val="浅色列表11"/>
    <w:basedOn w:val="TableNormal"/>
    <w:uiPriority w:val="61"/>
    <w:qFormat/>
    <w:rPr>
      <w:rFonts w:ascii="DengXian" w:eastAsia="DengXian" w:hAnsi="DengXian"/>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9">
    <w:name w:val="三线表1"/>
    <w:basedOn w:val="TableNormal"/>
    <w:uiPriority w:val="99"/>
    <w:qFormat/>
    <w:rPr>
      <w:rFonts w:ascii="DengXian" w:eastAsia="DengXian" w:hAnsi="DengXian"/>
      <w:szCs w:val="21"/>
      <w:lang w:eastAsia="zh-CN"/>
    </w:rPr>
    <w:tblPr>
      <w:tblBorders>
        <w:top w:val="single" w:sz="12" w:space="0" w:color="auto"/>
        <w:bottom w:val="single" w:sz="12" w:space="0" w:color="auto"/>
      </w:tblBorders>
    </w:tblPr>
    <w:tblStylePr w:type="firstRow">
      <w:tblPr/>
      <w:tcPr>
        <w:tcBorders>
          <w:bottom w:val="single" w:sz="6" w:space="0" w:color="auto"/>
        </w:tcBorders>
      </w:tcPr>
    </w:tblStylePr>
  </w:style>
  <w:style w:type="table" w:customStyle="1" w:styleId="113">
    <w:name w:val="网格表 1 浅色1"/>
    <w:basedOn w:val="TableNormal"/>
    <w:uiPriority w:val="46"/>
    <w:qFormat/>
    <w:rPr>
      <w:rFonts w:ascii="DengXian" w:eastAsia="DengXian" w:hAnsi="DengXian"/>
      <w:szCs w:val="21"/>
      <w:lang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
    <w:name w:val="网格表 1 浅色 - 着色 11"/>
    <w:basedOn w:val="TableNormal"/>
    <w:uiPriority w:val="46"/>
    <w:qFormat/>
    <w:rPr>
      <w:rFonts w:ascii="DengXian" w:eastAsia="DengXian" w:hAnsi="DengXian"/>
      <w:szCs w:val="21"/>
      <w:lang w:eastAsia="zh-C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21">
    <w:name w:val="网格表 1 浅色 - 着色 21"/>
    <w:basedOn w:val="TableNormal"/>
    <w:uiPriority w:val="46"/>
    <w:qFormat/>
    <w:rPr>
      <w:rFonts w:ascii="DengXian" w:eastAsia="DengXian" w:hAnsi="DengXian"/>
      <w:szCs w:val="21"/>
      <w:lang w:eastAsia="zh-CN"/>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9">
    <w:name w:val="网格型浅色2"/>
    <w:basedOn w:val="TableNormal"/>
    <w:uiPriority w:val="40"/>
    <w:qFormat/>
    <w:rPr>
      <w:rFonts w:ascii="DengXian" w:eastAsia="DengXian" w:hAnsi="DengXian"/>
      <w:szCs w:val="21"/>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
    <w:name w:val="网格表 4 - 着色 32"/>
    <w:basedOn w:val="TableNormal"/>
    <w:uiPriority w:val="49"/>
    <w:qFormat/>
    <w:rPr>
      <w:lang w:eastAsia="zh-CN"/>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20">
    <w:name w:val="网格表 1 浅色2"/>
    <w:basedOn w:val="TableNormal"/>
    <w:uiPriority w:val="46"/>
    <w:qFormat/>
    <w:rPr>
      <w:lang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表 1 浅色 - 着色 12"/>
    <w:basedOn w:val="TableNormal"/>
    <w:uiPriority w:val="46"/>
    <w:qFormat/>
    <w:rPr>
      <w:lang w:eastAsia="zh-C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22">
    <w:name w:val="网格表 1 浅色 - 着色 22"/>
    <w:basedOn w:val="TableNormal"/>
    <w:uiPriority w:val="46"/>
    <w:qFormat/>
    <w:rPr>
      <w:lang w:eastAsia="zh-CN"/>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34">
    <w:name w:val="网格型浅色3"/>
    <w:basedOn w:val="TableNormal"/>
    <w:uiPriority w:val="40"/>
    <w:qFormat/>
    <w:rPr>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2">
    <w:name w:val="浅色列表 - 着色 32"/>
    <w:basedOn w:val="TableNormal"/>
    <w:uiPriority w:val="61"/>
    <w:qFormat/>
    <w:rPr>
      <w:rFonts w:ascii="DengXian" w:eastAsia="DengXian" w:hAnsi="DengXian"/>
      <w:lang w:val="en-MY"/>
    </w:rPr>
    <w:tblPr>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2-52">
    <w:name w:val="中等深浅底纹 2 - 着色 52"/>
    <w:basedOn w:val="TableNormal"/>
    <w:uiPriority w:val="64"/>
    <w:qFormat/>
    <w:rPr>
      <w:rFonts w:ascii="DengXian" w:eastAsia="DengXian" w:hAnsi="DengXian"/>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322">
    <w:name w:val="网格表 4 - 着色 322"/>
    <w:basedOn w:val="TableNormal"/>
    <w:uiPriority w:val="49"/>
    <w:qFormat/>
    <w:rPr>
      <w:rFonts w:ascii="DengXian" w:eastAsia="DengXian" w:hAnsi="DengXian"/>
      <w:szCs w:val="21"/>
      <w:lang w:eastAsia="zh-CN"/>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2a">
    <w:name w:val="浅色列表2"/>
    <w:basedOn w:val="TableNormal"/>
    <w:uiPriority w:val="61"/>
    <w:qFormat/>
    <w:rPr>
      <w:rFonts w:ascii="DengXian" w:eastAsia="DengXian" w:hAnsi="DengXian"/>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b">
    <w:name w:val="三线表2"/>
    <w:basedOn w:val="TableNormal"/>
    <w:uiPriority w:val="99"/>
    <w:qFormat/>
    <w:rPr>
      <w:rFonts w:ascii="DengXian" w:eastAsia="DengXian" w:hAnsi="DengXian"/>
      <w:szCs w:val="21"/>
      <w:lang w:eastAsia="zh-CN"/>
    </w:rPr>
    <w:tblPr>
      <w:tblBorders>
        <w:top w:val="single" w:sz="12" w:space="0" w:color="auto"/>
        <w:bottom w:val="single" w:sz="12" w:space="0" w:color="auto"/>
      </w:tblBorders>
    </w:tblPr>
    <w:tblStylePr w:type="firstRow">
      <w:tblPr/>
      <w:tcPr>
        <w:tcBorders>
          <w:bottom w:val="single" w:sz="6" w:space="0" w:color="auto"/>
        </w:tcBorders>
      </w:tcPr>
    </w:tblStylePr>
  </w:style>
  <w:style w:type="table" w:customStyle="1" w:styleId="122">
    <w:name w:val="网格表 1 浅色22"/>
    <w:basedOn w:val="TableNormal"/>
    <w:uiPriority w:val="46"/>
    <w:qFormat/>
    <w:rPr>
      <w:rFonts w:ascii="DengXian" w:eastAsia="DengXian" w:hAnsi="DengXian"/>
      <w:szCs w:val="21"/>
      <w:lang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2">
    <w:name w:val="网格表 1 浅色 - 着色 122"/>
    <w:basedOn w:val="TableNormal"/>
    <w:uiPriority w:val="46"/>
    <w:qFormat/>
    <w:rPr>
      <w:rFonts w:ascii="DengXian" w:eastAsia="DengXian" w:hAnsi="DengXian"/>
      <w:szCs w:val="21"/>
      <w:lang w:eastAsia="zh-C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222">
    <w:name w:val="网格表 1 浅色 - 着色 222"/>
    <w:basedOn w:val="TableNormal"/>
    <w:uiPriority w:val="46"/>
    <w:qFormat/>
    <w:rPr>
      <w:rFonts w:ascii="DengXian" w:eastAsia="DengXian" w:hAnsi="DengXian"/>
      <w:szCs w:val="21"/>
      <w:lang w:eastAsia="zh-CN"/>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320">
    <w:name w:val="网格型浅色32"/>
    <w:basedOn w:val="TableNormal"/>
    <w:uiPriority w:val="40"/>
    <w:qFormat/>
    <w:rPr>
      <w:rFonts w:ascii="DengXian" w:eastAsia="DengXian" w:hAnsi="DengXian"/>
      <w:szCs w:val="21"/>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onotuse1">
    <w:name w:val="do not use1"/>
    <w:basedOn w:val="Normal"/>
    <w:next w:val="Normal"/>
    <w:uiPriority w:val="11"/>
    <w:unhideWhenUsed/>
    <w:qFormat/>
    <w:pPr>
      <w:keepNext/>
      <w:tabs>
        <w:tab w:val="left" w:pos="3396"/>
      </w:tabs>
      <w:spacing w:after="240" w:line="240" w:lineRule="auto"/>
    </w:pPr>
    <w:rPr>
      <w:rFonts w:ascii="Times New Roman" w:eastAsia="Calibri" w:hAnsi="Times New Roman" w:cs="Times New Roman"/>
      <w:bCs/>
      <w:color w:val="FF0000"/>
      <w:sz w:val="24"/>
      <w:szCs w:val="18"/>
      <w:lang w:val="en-GB"/>
    </w:rPr>
  </w:style>
  <w:style w:type="paragraph" w:customStyle="1" w:styleId="TitleOnRomanPages1">
    <w:name w:val="Title On Roman Pages1"/>
    <w:basedOn w:val="Normal"/>
    <w:next w:val="Normal"/>
    <w:uiPriority w:val="10"/>
    <w:unhideWhenUsed/>
    <w:qFormat/>
    <w:pPr>
      <w:pageBreakBefore/>
      <w:suppressLineNumbers/>
      <w:spacing w:after="960" w:line="240" w:lineRule="auto"/>
      <w:ind w:firstLine="562"/>
      <w:jc w:val="center"/>
      <w:outlineLvl w:val="0"/>
    </w:pPr>
    <w:rPr>
      <w:rFonts w:ascii="Times New Roman" w:eastAsia="DengXian Light" w:hAnsi="Times New Roman" w:cs="Times New Roman"/>
      <w:b/>
      <w:bCs/>
      <w:caps/>
      <w:kern w:val="28"/>
      <w:sz w:val="24"/>
      <w:szCs w:val="32"/>
      <w:lang w:val="en-GB"/>
    </w:rPr>
  </w:style>
  <w:style w:type="table" w:customStyle="1" w:styleId="114">
    <w:name w:val="网格型11"/>
    <w:basedOn w:val="TableNormal"/>
    <w:uiPriority w:val="59"/>
    <w:qFormat/>
    <w:rPr>
      <w:rFonts w:ascii="DengXian" w:eastAsia="DengXian" w:hAnsi="DengXian"/>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无格式表格 211"/>
    <w:basedOn w:val="TableNormal"/>
    <w:uiPriority w:val="42"/>
    <w:qFormat/>
    <w:rPr>
      <w:lang w:eastAsia="zh-C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10">
    <w:name w:val="无格式表格 111"/>
    <w:basedOn w:val="TableNormal"/>
    <w:uiPriority w:val="41"/>
    <w:qFormat/>
    <w:rPr>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1">
    <w:name w:val="无格式表格 311"/>
    <w:basedOn w:val="TableNormal"/>
    <w:uiPriority w:val="43"/>
    <w:qFormat/>
    <w:rPr>
      <w:lang w:eastAsia="zh-CN"/>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1">
    <w:name w:val="浅色列表 - 着色 3111"/>
    <w:basedOn w:val="TableNormal"/>
    <w:uiPriority w:val="61"/>
    <w:qFormat/>
    <w:rPr>
      <w:rFonts w:ascii="DengXian" w:eastAsia="DengXian" w:hAnsi="DengXian"/>
      <w:lang w:val="en-MY"/>
    </w:rPr>
    <w:tblPr>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2c">
    <w:name w:val="访问过的超链接2"/>
    <w:basedOn w:val="DefaultParagraphFont"/>
    <w:uiPriority w:val="99"/>
    <w:semiHidden/>
    <w:unhideWhenUsed/>
    <w:qFormat/>
    <w:rPr>
      <w:color w:val="954F72"/>
      <w:u w:val="single"/>
    </w:rPr>
  </w:style>
  <w:style w:type="table" w:customStyle="1" w:styleId="2-521">
    <w:name w:val="中等深浅底纹 2 - 着色 521"/>
    <w:basedOn w:val="TableNormal"/>
    <w:uiPriority w:val="64"/>
    <w:semiHidden/>
    <w:unhideWhenUsed/>
    <w:qFormat/>
    <w:rPr>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321">
    <w:name w:val="网格表 4 - 着色 321"/>
    <w:basedOn w:val="TableNormal"/>
    <w:uiPriority w:val="49"/>
    <w:qFormat/>
    <w:rPr>
      <w:lang w:eastAsia="zh-CN"/>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212">
    <w:name w:val="浅色列表21"/>
    <w:basedOn w:val="TableNormal"/>
    <w:uiPriority w:val="61"/>
    <w:semiHidden/>
    <w:unhideWhenUsed/>
    <w:qFormat/>
    <w:rPr>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
    <w:name w:val="网格表 1 浅色21"/>
    <w:basedOn w:val="TableNormal"/>
    <w:uiPriority w:val="46"/>
    <w:qFormat/>
    <w:rPr>
      <w:lang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表 1 浅色 - 着色 121"/>
    <w:basedOn w:val="TableNormal"/>
    <w:uiPriority w:val="46"/>
    <w:qFormat/>
    <w:rPr>
      <w:lang w:eastAsia="zh-C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221">
    <w:name w:val="网格表 1 浅色 - 着色 221"/>
    <w:basedOn w:val="TableNormal"/>
    <w:uiPriority w:val="46"/>
    <w:qFormat/>
    <w:rPr>
      <w:lang w:eastAsia="zh-CN"/>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211">
    <w:name w:val="中等深浅底纹 2 - 着色 5211"/>
    <w:basedOn w:val="TableNormal"/>
    <w:uiPriority w:val="64"/>
    <w:qFormat/>
    <w:rPr>
      <w:rFonts w:ascii="DengXian" w:eastAsia="DengXian" w:hAnsi="DengXian"/>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3211">
    <w:name w:val="网格表 4 - 着色 3211"/>
    <w:basedOn w:val="TableNormal"/>
    <w:uiPriority w:val="49"/>
    <w:qFormat/>
    <w:rPr>
      <w:rFonts w:ascii="DengXian" w:eastAsia="DengXian" w:hAnsi="DengXian"/>
      <w:szCs w:val="21"/>
      <w:lang w:eastAsia="zh-CN"/>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2111">
    <w:name w:val="浅色列表211"/>
    <w:basedOn w:val="TableNormal"/>
    <w:uiPriority w:val="61"/>
    <w:qFormat/>
    <w:rPr>
      <w:rFonts w:ascii="DengXian" w:eastAsia="DengXian" w:hAnsi="DengXian"/>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1">
    <w:name w:val="网格表 1 浅色211"/>
    <w:basedOn w:val="TableNormal"/>
    <w:uiPriority w:val="46"/>
    <w:qFormat/>
    <w:rPr>
      <w:rFonts w:ascii="DengXian" w:eastAsia="DengXian" w:hAnsi="DengXian"/>
      <w:szCs w:val="21"/>
      <w:lang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1">
    <w:name w:val="网格表 1 浅色 - 着色 1211"/>
    <w:basedOn w:val="TableNormal"/>
    <w:uiPriority w:val="46"/>
    <w:qFormat/>
    <w:rPr>
      <w:rFonts w:ascii="DengXian" w:eastAsia="DengXian" w:hAnsi="DengXian"/>
      <w:szCs w:val="21"/>
      <w:lang w:eastAsia="zh-C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2211">
    <w:name w:val="网格表 1 浅色 - 着色 2211"/>
    <w:basedOn w:val="TableNormal"/>
    <w:uiPriority w:val="46"/>
    <w:qFormat/>
    <w:rPr>
      <w:rFonts w:ascii="DengXian" w:eastAsia="DengXian" w:hAnsi="DengXian"/>
      <w:szCs w:val="21"/>
      <w:lang w:eastAsia="zh-CN"/>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312">
    <w:name w:val="网格型浅色31"/>
    <w:basedOn w:val="TableNormal"/>
    <w:uiPriority w:val="40"/>
    <w:qFormat/>
    <w:rPr>
      <w:rFonts w:ascii="DengXian" w:eastAsia="DengXian" w:hAnsi="DengXian"/>
      <w:szCs w:val="21"/>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213">
    <w:name w:val="标题 2 字符1"/>
    <w:basedOn w:val="DefaultParagraphFont"/>
    <w:uiPriority w:val="9"/>
    <w:semiHidden/>
    <w:qFormat/>
    <w:rPr>
      <w:rFonts w:ascii="DengXian Light" w:eastAsia="DengXian Light" w:hAnsi="DengXian Light" w:cs="Times New Roman"/>
      <w:b/>
      <w:bCs/>
      <w:sz w:val="32"/>
      <w:szCs w:val="32"/>
    </w:rPr>
  </w:style>
  <w:style w:type="character" w:customStyle="1" w:styleId="313">
    <w:name w:val="标题 3 字符1"/>
    <w:basedOn w:val="DefaultParagraphFont"/>
    <w:uiPriority w:val="9"/>
    <w:semiHidden/>
    <w:qFormat/>
    <w:rPr>
      <w:b/>
      <w:bCs/>
      <w:sz w:val="32"/>
      <w:szCs w:val="32"/>
    </w:rPr>
  </w:style>
  <w:style w:type="character" w:customStyle="1" w:styleId="411">
    <w:name w:val="标题 4 字符1"/>
    <w:basedOn w:val="DefaultParagraphFont"/>
    <w:uiPriority w:val="9"/>
    <w:semiHidden/>
    <w:qFormat/>
    <w:rPr>
      <w:rFonts w:ascii="DengXian Light" w:eastAsia="DengXian Light" w:hAnsi="DengXian Light" w:cs="Times New Roman"/>
      <w:b/>
      <w:bCs/>
      <w:sz w:val="28"/>
      <w:szCs w:val="28"/>
    </w:rPr>
  </w:style>
  <w:style w:type="character" w:customStyle="1" w:styleId="510">
    <w:name w:val="标题 5 字符1"/>
    <w:basedOn w:val="DefaultParagraphFont"/>
    <w:uiPriority w:val="9"/>
    <w:semiHidden/>
    <w:qFormat/>
    <w:rPr>
      <w:b/>
      <w:bCs/>
      <w:sz w:val="28"/>
      <w:szCs w:val="28"/>
    </w:rPr>
  </w:style>
  <w:style w:type="character" w:customStyle="1" w:styleId="610">
    <w:name w:val="标题 6 字符1"/>
    <w:basedOn w:val="DefaultParagraphFont"/>
    <w:uiPriority w:val="9"/>
    <w:semiHidden/>
    <w:qFormat/>
    <w:rPr>
      <w:rFonts w:ascii="DengXian Light" w:eastAsia="DengXian Light" w:hAnsi="DengXian Light" w:cs="Times New Roman"/>
      <w:b/>
      <w:bCs/>
      <w:sz w:val="24"/>
      <w:szCs w:val="24"/>
    </w:rPr>
  </w:style>
  <w:style w:type="character" w:customStyle="1" w:styleId="710">
    <w:name w:val="标题 7 字符1"/>
    <w:basedOn w:val="DefaultParagraphFont"/>
    <w:uiPriority w:val="9"/>
    <w:semiHidden/>
    <w:qFormat/>
    <w:rPr>
      <w:b/>
      <w:bCs/>
      <w:sz w:val="24"/>
      <w:szCs w:val="24"/>
    </w:rPr>
  </w:style>
  <w:style w:type="character" w:customStyle="1" w:styleId="810">
    <w:name w:val="标题 8 字符1"/>
    <w:basedOn w:val="DefaultParagraphFont"/>
    <w:uiPriority w:val="9"/>
    <w:semiHidden/>
    <w:qFormat/>
    <w:rPr>
      <w:rFonts w:ascii="DengXian Light" w:eastAsia="DengXian Light" w:hAnsi="DengXian Light" w:cs="Times New Roman"/>
      <w:sz w:val="24"/>
      <w:szCs w:val="24"/>
    </w:rPr>
  </w:style>
  <w:style w:type="character" w:customStyle="1" w:styleId="910">
    <w:name w:val="标题 9 字符1"/>
    <w:basedOn w:val="DefaultParagraphFont"/>
    <w:uiPriority w:val="9"/>
    <w:semiHidden/>
    <w:qFormat/>
    <w:rPr>
      <w:rFonts w:ascii="DengXian Light" w:eastAsia="DengXian Light" w:hAnsi="DengXian Light" w:cs="Times New Roman"/>
      <w:szCs w:val="21"/>
    </w:rPr>
  </w:style>
  <w:style w:type="character" w:customStyle="1" w:styleId="1fa">
    <w:name w:val="副标题 字符1"/>
    <w:basedOn w:val="DefaultParagraphFont"/>
    <w:uiPriority w:val="11"/>
    <w:qFormat/>
    <w:rPr>
      <w:b/>
      <w:bCs/>
      <w:kern w:val="28"/>
      <w:sz w:val="32"/>
      <w:szCs w:val="32"/>
    </w:rPr>
  </w:style>
  <w:style w:type="table" w:customStyle="1" w:styleId="2-53">
    <w:name w:val="中等深浅底纹 2 - 着色 53"/>
    <w:basedOn w:val="TableNormal"/>
    <w:uiPriority w:val="64"/>
    <w:unhideWhenUsed/>
    <w:qFormat/>
    <w:rPr>
      <w:rFonts w:ascii="DengXian" w:eastAsia="DengXian" w:hAnsi="DengXian"/>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33">
    <w:name w:val="网格表 4 - 着色 33"/>
    <w:basedOn w:val="TableNormal"/>
    <w:uiPriority w:val="49"/>
    <w:qFormat/>
    <w:rPr>
      <w:rFonts w:ascii="DengXian" w:eastAsia="DengXian" w:hAnsi="DengXian"/>
      <w:lang w:eastAsia="zh-CN"/>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5">
    <w:name w:val="浅色列表3"/>
    <w:basedOn w:val="TableNormal"/>
    <w:uiPriority w:val="61"/>
    <w:semiHidden/>
    <w:unhideWhenUsed/>
    <w:qFormat/>
    <w:rPr>
      <w:rFonts w:ascii="DengXian" w:eastAsia="DengXian" w:hAnsi="DengXian"/>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网格表 1 浅色3"/>
    <w:basedOn w:val="TableNormal"/>
    <w:uiPriority w:val="46"/>
    <w:qFormat/>
    <w:rPr>
      <w:rFonts w:ascii="DengXian" w:eastAsia="DengXian" w:hAnsi="DengXian"/>
      <w:lang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3">
    <w:name w:val="网格表 1 浅色 - 着色 13"/>
    <w:basedOn w:val="TableNormal"/>
    <w:uiPriority w:val="46"/>
    <w:qFormat/>
    <w:rPr>
      <w:rFonts w:ascii="DengXian" w:eastAsia="DengXian" w:hAnsi="DengXian"/>
      <w:lang w:eastAsia="zh-C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23">
    <w:name w:val="网格表 1 浅色 - 着色 23"/>
    <w:basedOn w:val="TableNormal"/>
    <w:uiPriority w:val="46"/>
    <w:qFormat/>
    <w:rPr>
      <w:rFonts w:ascii="DengXian" w:eastAsia="DengXian" w:hAnsi="DengXian"/>
      <w:lang w:eastAsia="zh-CN"/>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3">
    <w:name w:val="网格型浅色4"/>
    <w:basedOn w:val="TableNormal"/>
    <w:uiPriority w:val="40"/>
    <w:qFormat/>
    <w:rPr>
      <w:rFonts w:ascii="DengXian" w:eastAsia="DengXian" w:hAnsi="DengXian"/>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d">
    <w:name w:val="网格型2"/>
    <w:basedOn w:val="TableNormal"/>
    <w:uiPriority w:val="39"/>
    <w:qFormat/>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浅色列表 - 着色 33"/>
    <w:basedOn w:val="TableNormal"/>
    <w:uiPriority w:val="61"/>
    <w:qFormat/>
    <w:rPr>
      <w:lang w:val="en-MY"/>
    </w:rPr>
    <w:tblPr>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115">
    <w:name w:val="标题 1 字符1"/>
    <w:basedOn w:val="DefaultParagraphFont"/>
    <w:uiPriority w:val="9"/>
    <w:rPr>
      <w:b/>
      <w:bCs/>
      <w:kern w:val="44"/>
      <w:sz w:val="44"/>
      <w:szCs w:val="44"/>
    </w:rPr>
  </w:style>
  <w:style w:type="character" w:customStyle="1" w:styleId="321">
    <w:name w:val="标题 3 字符2"/>
    <w:basedOn w:val="DefaultParagraphFont"/>
    <w:uiPriority w:val="9"/>
    <w:semiHidden/>
    <w:rPr>
      <w:b/>
      <w:bCs/>
      <w:sz w:val="32"/>
      <w:szCs w:val="32"/>
    </w:rPr>
  </w:style>
  <w:style w:type="character" w:customStyle="1" w:styleId="420">
    <w:name w:val="标题 4 字符2"/>
    <w:basedOn w:val="DefaultParagraphFont"/>
    <w:uiPriority w:val="9"/>
    <w:semiHidden/>
    <w:rPr>
      <w:rFonts w:asciiTheme="majorHAnsi" w:eastAsiaTheme="majorEastAsia" w:hAnsiTheme="majorHAnsi" w:cstheme="majorBidi"/>
      <w:b/>
      <w:bCs/>
      <w:sz w:val="28"/>
      <w:szCs w:val="28"/>
    </w:rPr>
  </w:style>
  <w:style w:type="character" w:customStyle="1" w:styleId="52">
    <w:name w:val="标题 5 字符2"/>
    <w:basedOn w:val="DefaultParagraphFont"/>
    <w:uiPriority w:val="9"/>
    <w:semiHidden/>
    <w:rPr>
      <w:b/>
      <w:bCs/>
      <w:sz w:val="28"/>
      <w:szCs w:val="28"/>
    </w:rPr>
  </w:style>
  <w:style w:type="character" w:customStyle="1" w:styleId="62">
    <w:name w:val="标题 6 字符2"/>
    <w:basedOn w:val="DefaultParagraphFont"/>
    <w:uiPriority w:val="9"/>
    <w:semiHidden/>
    <w:rPr>
      <w:rFonts w:asciiTheme="majorHAnsi" w:eastAsiaTheme="majorEastAsia" w:hAnsiTheme="majorHAnsi" w:cstheme="majorBidi"/>
      <w:b/>
      <w:bCs/>
      <w:sz w:val="24"/>
      <w:szCs w:val="24"/>
    </w:rPr>
  </w:style>
  <w:style w:type="character" w:customStyle="1" w:styleId="72">
    <w:name w:val="标题 7 字符2"/>
    <w:basedOn w:val="DefaultParagraphFont"/>
    <w:uiPriority w:val="9"/>
    <w:semiHidden/>
    <w:rPr>
      <w:b/>
      <w:bCs/>
      <w:sz w:val="24"/>
      <w:szCs w:val="24"/>
    </w:rPr>
  </w:style>
  <w:style w:type="character" w:customStyle="1" w:styleId="82">
    <w:name w:val="标题 8 字符2"/>
    <w:basedOn w:val="DefaultParagraphFont"/>
    <w:uiPriority w:val="9"/>
    <w:semiHidden/>
    <w:rPr>
      <w:rFonts w:asciiTheme="majorHAnsi" w:eastAsiaTheme="majorEastAsia" w:hAnsiTheme="majorHAnsi" w:cstheme="majorBidi"/>
      <w:sz w:val="24"/>
      <w:szCs w:val="24"/>
    </w:rPr>
  </w:style>
  <w:style w:type="character" w:customStyle="1" w:styleId="92">
    <w:name w:val="标题 9 字符2"/>
    <w:basedOn w:val="DefaultParagraphFont"/>
    <w:uiPriority w:val="9"/>
    <w:semiHidden/>
    <w:rPr>
      <w:rFonts w:asciiTheme="majorHAnsi" w:eastAsiaTheme="majorEastAsia" w:hAnsiTheme="majorHAnsi" w:cstheme="majorBidi"/>
      <w:szCs w:val="21"/>
    </w:rPr>
  </w:style>
  <w:style w:type="character" w:customStyle="1" w:styleId="2e">
    <w:name w:val="副标题 字符2"/>
    <w:basedOn w:val="DefaultParagraphFont"/>
    <w:uiPriority w:val="11"/>
    <w:rPr>
      <w:b/>
      <w:bCs/>
      <w:kern w:val="28"/>
      <w:sz w:val="32"/>
      <w:szCs w:val="32"/>
    </w:rPr>
  </w:style>
  <w:style w:type="paragraph" w:customStyle="1" w:styleId="af0">
    <w:name w:val="表题"/>
    <w:basedOn w:val="af1"/>
    <w:qFormat/>
    <w:pPr>
      <w:spacing w:before="440" w:after="440"/>
      <w:jc w:val="left"/>
    </w:pPr>
  </w:style>
  <w:style w:type="paragraph" w:customStyle="1" w:styleId="af1">
    <w:name w:val="图题"/>
    <w:basedOn w:val="Caption"/>
    <w:qFormat/>
    <w:pPr>
      <w:keepNext w:val="0"/>
      <w:widowControl w:val="0"/>
      <w:spacing w:before="240" w:after="240" w:line="240" w:lineRule="auto"/>
      <w:jc w:val="center"/>
    </w:pPr>
    <w:rPr>
      <w:rFonts w:eastAsia="SimHei" w:cstheme="minorBidi"/>
      <w:b w:val="0"/>
      <w:bCs w:val="0"/>
      <w:kern w:val="2"/>
      <w:sz w:val="24"/>
      <w:szCs w:val="24"/>
      <w:lang w:eastAsia="zh-CN"/>
    </w:rPr>
  </w:style>
  <w:style w:type="paragraph" w:customStyle="1" w:styleId="new">
    <w:name w:val="正文new"/>
    <w:basedOn w:val="Normal"/>
    <w:qFormat/>
    <w:pPr>
      <w:widowControl w:val="0"/>
      <w:spacing w:after="0" w:line="480" w:lineRule="auto"/>
      <w:ind w:firstLineChars="200" w:firstLine="200"/>
      <w:jc w:val="both"/>
    </w:pPr>
    <w:rPr>
      <w:rFonts w:ascii="Times New Roman" w:eastAsia="Times New Roman" w:hAnsi="Times New Roman"/>
      <w:color w:val="000000"/>
      <w:kern w:val="2"/>
      <w:sz w:val="24"/>
      <w:szCs w:val="24"/>
      <w:lang w:eastAsia="zh-CN"/>
    </w:rPr>
  </w:style>
  <w:style w:type="paragraph" w:customStyle="1" w:styleId="af2">
    <w:name w:val="表内文字"/>
    <w:basedOn w:val="Normal"/>
    <w:qFormat/>
    <w:pPr>
      <w:widowControl w:val="0"/>
      <w:spacing w:after="0" w:line="240" w:lineRule="auto"/>
      <w:jc w:val="both"/>
    </w:pPr>
    <w:rPr>
      <w:rFonts w:ascii="Times New Roman" w:eastAsiaTheme="minorEastAsia" w:hAnsi="Times New Roman"/>
      <w:kern w:val="2"/>
      <w:sz w:val="20"/>
      <w:szCs w:val="20"/>
      <w:lang w:eastAsia="zh-CN"/>
    </w:rPr>
  </w:style>
  <w:style w:type="paragraph" w:customStyle="1" w:styleId="PARAGRAPH1">
    <w:name w:val="PARAGRAPH"/>
    <w:basedOn w:val="Normal"/>
    <w:pPr>
      <w:widowControl w:val="0"/>
      <w:spacing w:after="0" w:line="230" w:lineRule="exact"/>
      <w:ind w:firstLine="240"/>
      <w:jc w:val="both"/>
    </w:pPr>
    <w:rPr>
      <w:rFonts w:ascii="Palatino" w:eastAsia="Times New Roman" w:hAnsi="Palatino" w:cs="Times New Roman"/>
      <w:kern w:val="16"/>
      <w:sz w:val="19"/>
      <w:szCs w:val="20"/>
      <w:lang w:val="en-GB"/>
    </w:rPr>
  </w:style>
  <w:style w:type="paragraph" w:customStyle="1" w:styleId="IJOPCMTitle">
    <w:name w:val="IJOPCM Title"/>
    <w:basedOn w:val="Heading1"/>
    <w:pPr>
      <w:keepLines w:val="0"/>
      <w:spacing w:before="0" w:after="240" w:line="520" w:lineRule="exact"/>
      <w:ind w:firstLine="0"/>
    </w:pPr>
    <w:rPr>
      <w:rFonts w:ascii="Calibri" w:eastAsia="Times New Roman" w:hAnsi="Calibri" w:cs="Arial"/>
      <w:color w:val="auto"/>
      <w:kern w:val="32"/>
      <w:sz w:val="40"/>
      <w:szCs w:val="32"/>
      <w:lang w:val="en-GB" w:eastAsia="en-GB" w:bidi="ar-SA"/>
    </w:rPr>
  </w:style>
  <w:style w:type="paragraph" w:customStyle="1" w:styleId="IJOPCMBody">
    <w:name w:val="IJOPCM Body"/>
    <w:basedOn w:val="Normal"/>
    <w:pPr>
      <w:spacing w:before="120" w:after="120" w:line="240" w:lineRule="auto"/>
      <w:jc w:val="both"/>
    </w:pPr>
    <w:rPr>
      <w:rFonts w:ascii="Times New Roman" w:eastAsia="Times New Roman" w:hAnsi="Times New Roman" w:cs="Times New Roman"/>
      <w:sz w:val="24"/>
      <w:szCs w:val="24"/>
      <w:lang w:val="en-GB" w:eastAsia="en-GB" w:bidi="ar-JO"/>
    </w:rPr>
  </w:style>
  <w:style w:type="paragraph" w:customStyle="1" w:styleId="IJOPCMH1">
    <w:name w:val="IJOPCM H1"/>
    <w:basedOn w:val="Heading1"/>
    <w:pPr>
      <w:keepLines w:val="0"/>
      <w:spacing w:before="240" w:after="240" w:line="320" w:lineRule="exact"/>
      <w:ind w:firstLine="0"/>
    </w:pPr>
    <w:rPr>
      <w:rFonts w:ascii="Calibri" w:eastAsia="Times New Roman" w:hAnsi="Calibri" w:cs="Arial"/>
      <w:color w:val="auto"/>
      <w:kern w:val="32"/>
      <w:szCs w:val="32"/>
      <w:lang w:val="en-GB" w:eastAsia="en-GB" w:bidi="ar-SA"/>
    </w:rPr>
  </w:style>
  <w:style w:type="paragraph" w:customStyle="1" w:styleId="IJOPCMH2">
    <w:name w:val="IJOPCM H2"/>
    <w:basedOn w:val="Heading2"/>
    <w:pPr>
      <w:keepLines w:val="0"/>
      <w:spacing w:before="240" w:after="240" w:line="280" w:lineRule="exact"/>
      <w:ind w:firstLine="0"/>
    </w:pPr>
    <w:rPr>
      <w:rFonts w:ascii="Calibri" w:eastAsia="Times New Roman" w:hAnsi="Calibri" w:cs="Arial"/>
      <w:iCs/>
      <w:color w:val="auto"/>
      <w:sz w:val="24"/>
      <w:szCs w:val="28"/>
      <w:lang w:val="en-GB" w:eastAsia="en-GB" w:bidi="ar-SA"/>
    </w:rPr>
  </w:style>
  <w:style w:type="paragraph" w:customStyle="1" w:styleId="IJOPCMH3">
    <w:name w:val="IJOPCM H3"/>
    <w:basedOn w:val="Heading3"/>
    <w:pPr>
      <w:keepNext/>
      <w:spacing w:before="240" w:after="240" w:line="240" w:lineRule="exact"/>
    </w:pPr>
    <w:rPr>
      <w:rFonts w:ascii="Times New Roman" w:hAnsi="Times New Roman"/>
      <w:i w:val="0"/>
      <w:iCs w:val="0"/>
      <w:sz w:val="24"/>
      <w:lang w:val="en-GB" w:eastAsia="en-GB" w:bidi="ar-SA"/>
    </w:rPr>
  </w:style>
  <w:style w:type="paragraph" w:customStyle="1" w:styleId="IJOPCMRef">
    <w:name w:val="IJOPCM Ref"/>
    <w:basedOn w:val="Normal"/>
    <w:pPr>
      <w:spacing w:after="120" w:line="240" w:lineRule="auto"/>
      <w:ind w:left="357" w:hanging="357"/>
      <w:jc w:val="both"/>
    </w:pPr>
    <w:rPr>
      <w:rFonts w:ascii="Times New Roman" w:eastAsia="Times New Roman" w:hAnsi="Times New Roman" w:cs="Times New Roman"/>
      <w:sz w:val="24"/>
      <w:szCs w:val="24"/>
      <w:lang w:val="en-GB" w:eastAsia="en-GB"/>
    </w:rPr>
  </w:style>
  <w:style w:type="paragraph" w:customStyle="1" w:styleId="IJOPCMKeywards">
    <w:name w:val="IJOPCM Keywards"/>
    <w:basedOn w:val="Normal"/>
    <w:pPr>
      <w:spacing w:after="240" w:line="240" w:lineRule="exact"/>
    </w:pPr>
    <w:rPr>
      <w:rFonts w:ascii="Times New Roman" w:eastAsia="Times New Roman" w:hAnsi="Times New Roman" w:cs="Times New Roman"/>
      <w:i/>
      <w:sz w:val="24"/>
      <w:szCs w:val="24"/>
      <w:lang w:val="en-GB" w:eastAsia="en-GB"/>
    </w:rPr>
  </w:style>
  <w:style w:type="paragraph" w:customStyle="1" w:styleId="IJOPCMFigure">
    <w:name w:val="IJOPCM Figure"/>
    <w:basedOn w:val="Normal"/>
    <w:pPr>
      <w:spacing w:after="0" w:line="240" w:lineRule="auto"/>
      <w:jc w:val="center"/>
    </w:pPr>
    <w:rPr>
      <w:rFonts w:ascii="Times New Roman" w:eastAsia="Times New Roman" w:hAnsi="Times New Roman" w:cs="Times New Roman"/>
      <w:sz w:val="24"/>
      <w:szCs w:val="24"/>
      <w:lang w:val="en-GB" w:eastAsia="en-GB"/>
    </w:rPr>
  </w:style>
  <w:style w:type="paragraph" w:customStyle="1" w:styleId="IJOPCMTable">
    <w:name w:val="IJOPCM Table"/>
    <w:basedOn w:val="Normal"/>
    <w:pPr>
      <w:spacing w:after="0" w:line="240" w:lineRule="auto"/>
      <w:jc w:val="center"/>
    </w:pPr>
    <w:rPr>
      <w:rFonts w:ascii="Times New Roman" w:eastAsia="Times New Roman" w:hAnsi="Times New Roman" w:cs="Times New Roman"/>
      <w:sz w:val="24"/>
      <w:szCs w:val="24"/>
      <w:lang w:val="en-GB" w:eastAsia="en-GB"/>
    </w:rPr>
  </w:style>
  <w:style w:type="paragraph" w:customStyle="1" w:styleId="PARAGRAPHnoindent">
    <w:name w:val="PARAGRAPH (no indent)"/>
    <w:basedOn w:val="PARAGRAPH1"/>
    <w:next w:val="PARAGRAPH1"/>
    <w:pPr>
      <w:ind w:firstLine="0"/>
    </w:pPr>
  </w:style>
  <w:style w:type="character" w:customStyle="1" w:styleId="Url0">
    <w:name w:val="Url"/>
    <w:rPr>
      <w:rFonts w:ascii="Helvetica Condensed" w:hAnsi="Helvetica Condensed"/>
      <w:color w:val="008000"/>
      <w:sz w:val="18"/>
    </w:rPr>
  </w:style>
  <w:style w:type="paragraph" w:customStyle="1" w:styleId="IJOPCMEqu">
    <w:name w:val="IJOPCM Equ"/>
    <w:basedOn w:val="Normal"/>
    <w:pPr>
      <w:spacing w:after="0" w:line="240" w:lineRule="auto"/>
      <w:jc w:val="right"/>
    </w:pPr>
    <w:rPr>
      <w:rFonts w:ascii="Times New Roman" w:eastAsia="Times New Roman" w:hAnsi="Times New Roman" w:cs="Times New Roman"/>
      <w:sz w:val="24"/>
      <w:szCs w:val="24"/>
      <w:lang w:val="en-GB" w:eastAsia="en-GB"/>
    </w:rPr>
  </w:style>
  <w:style w:type="paragraph" w:customStyle="1" w:styleId="SAP-ReferenceHeading">
    <w:name w:val="SAP-Reference Heading"/>
    <w:pPr>
      <w:spacing w:before="468" w:after="156" w:line="240" w:lineRule="exact"/>
      <w:jc w:val="both"/>
    </w:pPr>
    <w:rPr>
      <w:rFonts w:eastAsia="Times New Roman"/>
      <w:b/>
      <w:caps/>
      <w:sz w:val="28"/>
      <w:szCs w:val="16"/>
    </w:rPr>
  </w:style>
  <w:style w:type="paragraph" w:customStyle="1" w:styleId="SAP-Paragraph">
    <w:name w:val="SAP-Paragraph"/>
    <w:link w:val="SAP-ParagraphChar"/>
    <w:pPr>
      <w:adjustRightInd w:val="0"/>
      <w:snapToGrid w:val="0"/>
      <w:spacing w:line="240" w:lineRule="exact"/>
      <w:ind w:firstLineChars="100" w:firstLine="100"/>
      <w:jc w:val="both"/>
    </w:pPr>
    <w:rPr>
      <w:rFonts w:eastAsia="Times New Roman"/>
      <w:szCs w:val="24"/>
      <w:lang w:val="en-AU" w:eastAsia="zh-CN"/>
    </w:rPr>
  </w:style>
  <w:style w:type="character" w:customStyle="1" w:styleId="SAP-ParagraphChar">
    <w:name w:val="SAP-Paragraph Char"/>
    <w:link w:val="SAP-Paragraph"/>
    <w:rPr>
      <w:rFonts w:ascii="Times New Roman" w:eastAsia="Times New Roman" w:hAnsi="Times New Roman" w:cs="Times New Roman"/>
      <w:sz w:val="20"/>
      <w:szCs w:val="24"/>
      <w:lang w:val="en-AU" w:eastAsia="zh-CN"/>
    </w:rPr>
  </w:style>
  <w:style w:type="paragraph" w:customStyle="1" w:styleId="SAP-TableHeadingSingleline">
    <w:name w:val="SAP-Table Heading Single line"/>
    <w:basedOn w:val="Normal"/>
    <w:pPr>
      <w:adjustRightInd w:val="0"/>
      <w:snapToGrid w:val="0"/>
      <w:spacing w:before="200" w:after="100" w:line="160" w:lineRule="exact"/>
      <w:jc w:val="center"/>
    </w:pPr>
    <w:rPr>
      <w:rFonts w:ascii="Times New Roman" w:eastAsia="Times New Roman" w:hAnsi="Times New Roman" w:cs="Times New Roman"/>
      <w:bCs/>
      <w:sz w:val="16"/>
      <w:szCs w:val="24"/>
      <w:lang w:val="en-AU" w:eastAsia="zh-CN"/>
    </w:rPr>
  </w:style>
  <w:style w:type="paragraph" w:customStyle="1" w:styleId="SAP-Level2HeadingSingleline">
    <w:name w:val="SAP-Level 2 Heading Single line"/>
    <w:pPr>
      <w:adjustRightInd w:val="0"/>
      <w:snapToGrid w:val="0"/>
      <w:spacing w:before="187" w:after="93" w:line="240" w:lineRule="exact"/>
      <w:jc w:val="both"/>
      <w:outlineLvl w:val="1"/>
    </w:pPr>
    <w:rPr>
      <w:rFonts w:eastAsia="Times New Roman"/>
      <w:b/>
      <w:szCs w:val="24"/>
      <w:lang w:val="en-AU" w:eastAsia="zh-CN"/>
    </w:rPr>
  </w:style>
  <w:style w:type="paragraph" w:customStyle="1" w:styleId="SAP-Level1HeadingSingleline">
    <w:name w:val="SAP-Level 1 Heading Single line"/>
    <w:pPr>
      <w:adjustRightInd w:val="0"/>
      <w:snapToGrid w:val="0"/>
      <w:spacing w:before="468" w:after="156" w:line="240" w:lineRule="exact"/>
      <w:jc w:val="both"/>
      <w:outlineLvl w:val="0"/>
    </w:pPr>
    <w:rPr>
      <w:rFonts w:eastAsia="Times New Roman"/>
      <w:b/>
      <w:sz w:val="28"/>
      <w:szCs w:val="24"/>
      <w:lang w:eastAsia="zh-CN"/>
    </w:rPr>
  </w:style>
  <w:style w:type="paragraph" w:customStyle="1" w:styleId="SAP-FigureCaptionMulti-Lines">
    <w:name w:val="SAP-Figure Caption Multi-Lines"/>
    <w:pPr>
      <w:spacing w:afterLines="50" w:line="200" w:lineRule="exact"/>
    </w:pPr>
    <w:rPr>
      <w:rFonts w:eastAsia="Times New Roman"/>
      <w:sz w:val="16"/>
      <w:szCs w:val="24"/>
      <w:lang w:val="en-AU" w:eastAsia="zh-CN"/>
    </w:rPr>
  </w:style>
  <w:style w:type="paragraph" w:customStyle="1" w:styleId="SAP-FigtureCaptionSingleline">
    <w:name w:val="SAP-Figture Caption Single line"/>
    <w:qFormat/>
    <w:pPr>
      <w:spacing w:afterLines="50" w:line="200" w:lineRule="exact"/>
      <w:jc w:val="center"/>
    </w:pPr>
    <w:rPr>
      <w:rFonts w:eastAsia="Times New Roman"/>
      <w:sz w:val="16"/>
      <w:szCs w:val="18"/>
      <w:lang w:eastAsia="zh-CN"/>
    </w:rPr>
  </w:style>
  <w:style w:type="paragraph" w:customStyle="1" w:styleId="SAP-Acknowledgement">
    <w:name w:val="SAP-Acknowledgement"/>
    <w:qFormat/>
    <w:pPr>
      <w:spacing w:before="468" w:after="156" w:line="240" w:lineRule="exact"/>
      <w:jc w:val="both"/>
    </w:pPr>
    <w:rPr>
      <w:rFonts w:eastAsia="Times New Roman"/>
      <w:b/>
      <w:caps/>
      <w:sz w:val="28"/>
      <w:szCs w:val="18"/>
      <w:lang w:eastAsia="zh-CN"/>
    </w:rPr>
  </w:style>
  <w:style w:type="paragraph" w:customStyle="1" w:styleId="SAP-Equation">
    <w:name w:val="SAP-Equation"/>
    <w:qFormat/>
    <w:pPr>
      <w:tabs>
        <w:tab w:val="center" w:pos="2646"/>
        <w:tab w:val="right" w:pos="5292"/>
      </w:tabs>
      <w:jc w:val="right"/>
    </w:pPr>
    <w:rPr>
      <w:rFonts w:eastAsia="Times New Roman"/>
      <w:szCs w:val="18"/>
      <w:lang w:eastAsia="zh-CN"/>
    </w:rPr>
  </w:style>
  <w:style w:type="paragraph" w:customStyle="1" w:styleId="SAP-TableCell">
    <w:name w:val="SAP-Table Cell"/>
    <w:qFormat/>
    <w:pPr>
      <w:spacing w:line="200" w:lineRule="exact"/>
      <w:jc w:val="center"/>
    </w:pPr>
    <w:rPr>
      <w:rFonts w:eastAsia="Times New Roman"/>
      <w:bCs/>
      <w:sz w:val="16"/>
      <w:szCs w:val="16"/>
      <w:lang w:val="en-AU" w:eastAsia="zh-CN"/>
    </w:rPr>
  </w:style>
  <w:style w:type="paragraph" w:customStyle="1" w:styleId="SAP-Level3HeadingSingleline">
    <w:name w:val="SAP-Level 3 Heading Single line"/>
    <w:next w:val="SAP-Paragraph"/>
    <w:qFormat/>
    <w:pPr>
      <w:spacing w:before="187" w:after="93" w:line="240" w:lineRule="exact"/>
      <w:jc w:val="both"/>
    </w:pPr>
    <w:rPr>
      <w:rFonts w:eastAsia="Times New Roman"/>
      <w:kern w:val="2"/>
      <w:szCs w:val="22"/>
      <w:lang w:eastAsia="zh-CN"/>
    </w:rPr>
  </w:style>
  <w:style w:type="paragraph" w:customStyle="1" w:styleId="FooterEven">
    <w:name w:val="Footer Even"/>
    <w:basedOn w:val="Normal"/>
    <w:qFormat/>
    <w:pPr>
      <w:pBdr>
        <w:top w:val="single" w:sz="4" w:space="1" w:color="4F81BD"/>
      </w:pBdr>
      <w:spacing w:after="180" w:line="264" w:lineRule="auto"/>
    </w:pPr>
    <w:rPr>
      <w:rFonts w:ascii="Calibri" w:eastAsia="Calibri" w:hAnsi="Calibri" w:cs="Times New Roman"/>
      <w:color w:val="1F497D"/>
      <w:sz w:val="20"/>
      <w:szCs w:val="20"/>
      <w:lang w:val="en-GB" w:eastAsia="ja-JP"/>
    </w:rPr>
  </w:style>
  <w:style w:type="character" w:customStyle="1" w:styleId="kw">
    <w:name w:val="kw"/>
    <w:basedOn w:val="DefaultParagraphFont"/>
  </w:style>
  <w:style w:type="character" w:customStyle="1" w:styleId="dt">
    <w:name w:val="dt"/>
    <w:basedOn w:val="DefaultParagraphFont"/>
  </w:style>
  <w:style w:type="character" w:customStyle="1" w:styleId="op">
    <w:name w:val="op"/>
    <w:basedOn w:val="DefaultParagraphFont"/>
  </w:style>
  <w:style w:type="character" w:customStyle="1" w:styleId="dv">
    <w:name w:val="dv"/>
    <w:basedOn w:val="DefaultParagraphFont"/>
  </w:style>
  <w:style w:type="character" w:customStyle="1" w:styleId="ot">
    <w:name w:val="ot"/>
    <w:basedOn w:val="DefaultParagraphFont"/>
  </w:style>
  <w:style w:type="character" w:customStyle="1" w:styleId="co">
    <w:name w:val="co"/>
    <w:basedOn w:val="DefaultParagraphFont"/>
  </w:style>
  <w:style w:type="character" w:customStyle="1" w:styleId="fl">
    <w:name w:val="fl"/>
    <w:basedOn w:val="DefaultParagraphFont"/>
  </w:style>
  <w:style w:type="table" w:customStyle="1" w:styleId="Style66">
    <w:name w:val="_Style 66"/>
    <w:basedOn w:val="TableNormal1"/>
    <w:qFormat/>
    <w:rPr>
      <w:rFonts w:ascii="Times New Roman" w:eastAsia="SimSun" w:hAnsi="Times New Roman"/>
      <w:lang w:val="en-US" w:eastAsia="en-US"/>
    </w:rPr>
    <w:tblPr>
      <w:tblCellMar>
        <w:left w:w="108" w:type="dxa"/>
        <w:right w:w="108" w:type="dxa"/>
      </w:tblCellMar>
    </w:tblPr>
  </w:style>
  <w:style w:type="table" w:customStyle="1" w:styleId="Style68">
    <w:name w:val="_Style 68"/>
    <w:basedOn w:val="TableNormal1"/>
    <w:qFormat/>
    <w:rPr>
      <w:rFonts w:ascii="Times New Roman" w:eastAsia="SimSun" w:hAnsi="Times New Roman"/>
      <w:lang w:val="en-US" w:eastAsia="en-US"/>
    </w:rPr>
    <w:tblPr/>
  </w:style>
  <w:style w:type="table" w:customStyle="1" w:styleId="Style73">
    <w:name w:val="_Style 73"/>
    <w:basedOn w:val="TableNormal1"/>
    <w:qFormat/>
    <w:rPr>
      <w:rFonts w:ascii="Times New Roman" w:eastAsia="SimSun" w:hAnsi="Times New Roman"/>
      <w:lang w:val="en-US" w:eastAsia="en-US"/>
    </w:rPr>
    <w:tblPr/>
  </w:style>
  <w:style w:type="table" w:customStyle="1" w:styleId="Style74">
    <w:name w:val="_Style 74"/>
    <w:basedOn w:val="TableNormal1"/>
    <w:qFormat/>
    <w:rPr>
      <w:rFonts w:ascii="Times New Roman" w:eastAsia="SimSun" w:hAnsi="Times New Roman"/>
      <w:lang w:val="en-US" w:eastAsia="en-US"/>
    </w:rPr>
    <w:tblPr/>
  </w:style>
  <w:style w:type="table" w:customStyle="1" w:styleId="Style75">
    <w:name w:val="_Style 75"/>
    <w:basedOn w:val="TableNormal1"/>
    <w:qFormat/>
    <w:rPr>
      <w:rFonts w:ascii="Times New Roman" w:eastAsia="SimSun" w:hAnsi="Times New Roman"/>
      <w:lang w:val="en-US" w:eastAsia="en-US"/>
    </w:rPr>
    <w:tblPr/>
  </w:style>
  <w:style w:type="table" w:customStyle="1" w:styleId="Style78">
    <w:name w:val="_Style 78"/>
    <w:basedOn w:val="TableNormal1"/>
    <w:qFormat/>
    <w:rPr>
      <w:rFonts w:ascii="Times New Roman" w:eastAsia="SimSun" w:hAnsi="Times New Roman"/>
      <w:lang w:val="en-US" w:eastAsia="en-US"/>
    </w:rPr>
    <w:tblPr/>
  </w:style>
  <w:style w:type="table" w:customStyle="1" w:styleId="Style79">
    <w:name w:val="_Style 79"/>
    <w:basedOn w:val="TableNormal1"/>
    <w:qFormat/>
    <w:rPr>
      <w:rFonts w:ascii="Times New Roman" w:eastAsia="SimSun" w:hAnsi="Times New Roman"/>
      <w:lang w:val="en-US" w:eastAsia="en-US"/>
    </w:rPr>
    <w:tblPr/>
  </w:style>
  <w:style w:type="table" w:customStyle="1" w:styleId="Style80">
    <w:name w:val="_Style 80"/>
    <w:basedOn w:val="TableNormal1"/>
    <w:qFormat/>
    <w:rPr>
      <w:rFonts w:ascii="Times New Roman" w:eastAsia="SimSun" w:hAnsi="Times New Roman"/>
      <w:lang w:val="en-US" w:eastAsia="en-US"/>
    </w:rPr>
    <w:tblPr/>
  </w:style>
  <w:style w:type="table" w:customStyle="1" w:styleId="Style81">
    <w:name w:val="_Style 81"/>
    <w:basedOn w:val="TableNormal1"/>
    <w:qFormat/>
    <w:rPr>
      <w:rFonts w:ascii="Times New Roman" w:eastAsia="SimSun" w:hAnsi="Times New Roman"/>
      <w:lang w:val="en-US" w:eastAsia="en-US"/>
    </w:rPr>
    <w:tblPr/>
  </w:style>
  <w:style w:type="table" w:customStyle="1" w:styleId="Style82">
    <w:name w:val="_Style 82"/>
    <w:basedOn w:val="TableNormal1"/>
    <w:qFormat/>
    <w:rPr>
      <w:rFonts w:ascii="Times New Roman" w:eastAsia="SimSun" w:hAnsi="Times New Roman"/>
      <w:lang w:val="en-US" w:eastAsia="en-US"/>
    </w:rPr>
    <w:tblPr/>
  </w:style>
  <w:style w:type="character" w:customStyle="1" w:styleId="citation-item">
    <w:name w:val="citation-item"/>
    <w:basedOn w:val="DefaultParagraphFont"/>
    <w:autoRedefine/>
    <w:qFormat/>
  </w:style>
  <w:style w:type="paragraph" w:customStyle="1" w:styleId="1fb">
    <w:name w:val="书目1"/>
    <w:basedOn w:val="Normal"/>
    <w:autoRedefine/>
    <w:qFormat/>
    <w:pPr>
      <w:widowControl w:val="0"/>
      <w:spacing w:after="0" w:line="480" w:lineRule="auto"/>
      <w:ind w:left="720" w:hanging="720"/>
      <w:jc w:val="both"/>
    </w:pPr>
    <w:rPr>
      <w:rFonts w:ascii="DengXian" w:eastAsia="DengXian" w:hAnsi="DengXian" w:cs="Times New Roman"/>
      <w:kern w:val="2"/>
      <w:sz w:val="24"/>
      <w:szCs w:val="24"/>
      <w:lang w:eastAsia="zh-CN"/>
    </w:rPr>
  </w:style>
  <w:style w:type="paragraph" w:customStyle="1" w:styleId="z-TopofForm10">
    <w:name w:val="z-Top of Form1"/>
    <w:basedOn w:val="Normal"/>
    <w:next w:val="Normal"/>
    <w:link w:val="z-"/>
    <w:uiPriority w:val="99"/>
    <w:semiHidden/>
    <w:unhideWhenUsed/>
    <w:qFormat/>
    <w:pPr>
      <w:pBdr>
        <w:bottom w:val="single" w:sz="6" w:space="1" w:color="auto"/>
      </w:pBdr>
      <w:spacing w:after="0" w:line="240" w:lineRule="auto"/>
      <w:jc w:val="center"/>
    </w:pPr>
    <w:rPr>
      <w:rFonts w:ascii="Arial" w:eastAsia="DengXian" w:hAnsi="Arial" w:cs="Arial"/>
      <w:vanish/>
      <w:sz w:val="16"/>
      <w:szCs w:val="16"/>
      <w:lang w:eastAsia="zh-CN"/>
    </w:rPr>
  </w:style>
  <w:style w:type="character" w:customStyle="1" w:styleId="z-">
    <w:name w:val="z-窗体顶端字符"/>
    <w:link w:val="z-TopofForm10"/>
    <w:uiPriority w:val="99"/>
    <w:semiHidden/>
    <w:qFormat/>
    <w:rPr>
      <w:rFonts w:ascii="Arial" w:eastAsia="DengXian" w:hAnsi="Arial" w:cs="Arial"/>
      <w:vanish/>
      <w:sz w:val="16"/>
      <w:szCs w:val="16"/>
      <w:lang w:eastAsia="zh-CN"/>
    </w:rPr>
  </w:style>
  <w:style w:type="paragraph" w:customStyle="1" w:styleId="z-BottomofForm10">
    <w:name w:val="z-Bottom of Form1"/>
    <w:basedOn w:val="Normal"/>
    <w:next w:val="Normal"/>
    <w:link w:val="z-0"/>
    <w:uiPriority w:val="99"/>
    <w:semiHidden/>
    <w:unhideWhenUsed/>
    <w:qFormat/>
    <w:pPr>
      <w:pBdr>
        <w:top w:val="single" w:sz="6" w:space="1" w:color="auto"/>
      </w:pBdr>
      <w:spacing w:after="0" w:line="240" w:lineRule="auto"/>
      <w:jc w:val="center"/>
    </w:pPr>
    <w:rPr>
      <w:rFonts w:ascii="Arial" w:eastAsia="DengXian" w:hAnsi="Arial" w:cs="Arial"/>
      <w:vanish/>
      <w:sz w:val="16"/>
      <w:szCs w:val="16"/>
      <w:lang w:eastAsia="zh-CN"/>
    </w:rPr>
  </w:style>
  <w:style w:type="character" w:customStyle="1" w:styleId="z-0">
    <w:name w:val="z-窗体底端字符"/>
    <w:link w:val="z-BottomofForm10"/>
    <w:uiPriority w:val="99"/>
    <w:semiHidden/>
    <w:qFormat/>
    <w:rPr>
      <w:rFonts w:ascii="Arial" w:eastAsia="DengXian" w:hAnsi="Arial" w:cs="Arial"/>
      <w:vanish/>
      <w:sz w:val="16"/>
      <w:szCs w:val="16"/>
      <w:lang w:eastAsia="zh-CN"/>
    </w:rPr>
  </w:style>
  <w:style w:type="character" w:customStyle="1" w:styleId="font31">
    <w:name w:val="font31"/>
    <w:basedOn w:val="DefaultParagraphFont"/>
    <w:qFormat/>
    <w:rPr>
      <w:rFonts w:ascii="Times New Roman" w:hAnsi="Times New Roman" w:cs="Times New Roman" w:hint="default"/>
      <w:i/>
      <w:iCs/>
      <w:color w:val="000000"/>
      <w:sz w:val="18"/>
      <w:szCs w:val="18"/>
      <w:u w:val="none"/>
    </w:rPr>
  </w:style>
  <w:style w:type="character" w:customStyle="1" w:styleId="font21">
    <w:name w:val="font21"/>
    <w:basedOn w:val="DefaultParagraphFont"/>
    <w:qFormat/>
    <w:rPr>
      <w:rFonts w:ascii="Times New Roman" w:hAnsi="Times New Roman" w:cs="Times New Roman" w:hint="default"/>
      <w:color w:val="000000"/>
      <w:sz w:val="18"/>
      <w:szCs w:val="18"/>
      <w:u w:val="none"/>
    </w:rPr>
  </w:style>
  <w:style w:type="character" w:customStyle="1" w:styleId="font41">
    <w:name w:val="font41"/>
    <w:basedOn w:val="DefaultParagraphFont"/>
    <w:qFormat/>
    <w:rPr>
      <w:rFonts w:ascii="DengXian" w:eastAsia="DengXian" w:hAnsi="DengXian" w:cs="DengXian"/>
      <w:color w:val="000000"/>
      <w:sz w:val="18"/>
      <w:szCs w:val="18"/>
      <w:u w:val="none"/>
    </w:rPr>
  </w:style>
  <w:style w:type="paragraph" w:customStyle="1" w:styleId="MHeader">
    <w:name w:val="M_Header"/>
    <w:basedOn w:val="Normal"/>
    <w:pPr>
      <w:spacing w:after="0" w:line="340" w:lineRule="atLeast"/>
      <w:jc w:val="both"/>
    </w:pPr>
    <w:rPr>
      <w:rFonts w:ascii="Times New Roman" w:eastAsia="Times New Roman" w:hAnsi="Times New Roman" w:cs="Times New Roman"/>
      <w:color w:val="000000"/>
      <w:sz w:val="24"/>
      <w:szCs w:val="20"/>
      <w:lang w:eastAsia="de-DE"/>
    </w:rPr>
  </w:style>
  <w:style w:type="paragraph" w:customStyle="1" w:styleId="MTitel">
    <w:name w:val="M_Titel"/>
    <w:basedOn w:val="Normal"/>
    <w:autoRedefine/>
    <w:pPr>
      <w:spacing w:after="0" w:line="240" w:lineRule="auto"/>
      <w:jc w:val="center"/>
    </w:pPr>
    <w:rPr>
      <w:rFonts w:ascii="Roboto" w:eastAsia="Times New Roman" w:hAnsi="Roboto" w:cs="Calibri"/>
      <w:b/>
      <w:color w:val="000000"/>
      <w:sz w:val="40"/>
      <w:szCs w:val="40"/>
      <w:lang w:eastAsia="de-DE"/>
    </w:rPr>
  </w:style>
  <w:style w:type="paragraph" w:customStyle="1" w:styleId="MHeading1">
    <w:name w:val="M_Heading1"/>
    <w:basedOn w:val="Normal"/>
    <w:pPr>
      <w:spacing w:before="240" w:after="240" w:line="340" w:lineRule="atLeast"/>
      <w:jc w:val="both"/>
    </w:pPr>
    <w:rPr>
      <w:rFonts w:ascii="Times New Roman" w:eastAsia="Times New Roman" w:hAnsi="Times New Roman" w:cs="Times New Roman"/>
      <w:b/>
      <w:color w:val="000000"/>
      <w:sz w:val="24"/>
      <w:szCs w:val="20"/>
      <w:lang w:eastAsia="de-DE"/>
    </w:rPr>
  </w:style>
  <w:style w:type="paragraph" w:customStyle="1" w:styleId="MText">
    <w:name w:val="M_Text"/>
    <w:basedOn w:val="Normal"/>
    <w:link w:val="MText0"/>
    <w:pPr>
      <w:spacing w:after="0" w:line="340" w:lineRule="atLeast"/>
      <w:ind w:firstLine="284"/>
      <w:jc w:val="both"/>
    </w:pPr>
    <w:rPr>
      <w:rFonts w:ascii="Times New Roman" w:eastAsia="Times New Roman" w:hAnsi="Times New Roman" w:cs="Times New Roman"/>
      <w:color w:val="000000"/>
      <w:sz w:val="24"/>
      <w:szCs w:val="20"/>
      <w:lang w:eastAsia="de-DE"/>
    </w:rPr>
  </w:style>
  <w:style w:type="paragraph" w:customStyle="1" w:styleId="MHeading2">
    <w:name w:val="M_Heading2"/>
    <w:basedOn w:val="Normal"/>
    <w:pPr>
      <w:spacing w:before="240" w:after="240" w:line="340" w:lineRule="atLeast"/>
      <w:jc w:val="both"/>
    </w:pPr>
    <w:rPr>
      <w:rFonts w:ascii="Times New Roman" w:eastAsia="Times New Roman" w:hAnsi="Times New Roman" w:cs="Times New Roman"/>
      <w:i/>
      <w:color w:val="000000"/>
      <w:sz w:val="24"/>
      <w:szCs w:val="20"/>
      <w:lang w:eastAsia="de-DE"/>
    </w:rPr>
  </w:style>
  <w:style w:type="paragraph" w:customStyle="1" w:styleId="MHeading3">
    <w:name w:val="M_Heading3"/>
    <w:basedOn w:val="Normal"/>
    <w:pPr>
      <w:spacing w:before="240" w:after="240" w:line="340" w:lineRule="atLeast"/>
      <w:jc w:val="both"/>
    </w:pPr>
    <w:rPr>
      <w:rFonts w:ascii="Times New Roman" w:eastAsia="Times New Roman" w:hAnsi="Times New Roman" w:cs="Times New Roman"/>
      <w:color w:val="000000"/>
      <w:sz w:val="24"/>
      <w:szCs w:val="20"/>
      <w:lang w:eastAsia="de-DE"/>
    </w:rPr>
  </w:style>
  <w:style w:type="paragraph" w:customStyle="1" w:styleId="MAcknow">
    <w:name w:val="M_Acknow"/>
    <w:basedOn w:val="Normal"/>
    <w:pPr>
      <w:spacing w:after="0" w:line="340" w:lineRule="atLeast"/>
      <w:jc w:val="both"/>
    </w:pPr>
    <w:rPr>
      <w:rFonts w:ascii="Times New Roman" w:eastAsia="Times New Roman" w:hAnsi="Times New Roman" w:cs="Times New Roman"/>
      <w:color w:val="000000"/>
      <w:sz w:val="24"/>
      <w:szCs w:val="20"/>
      <w:lang w:eastAsia="de-DE"/>
    </w:rPr>
  </w:style>
  <w:style w:type="paragraph" w:customStyle="1" w:styleId="MRefer">
    <w:name w:val="M_Refer"/>
    <w:basedOn w:val="Normal"/>
    <w:pPr>
      <w:spacing w:after="0" w:line="340" w:lineRule="atLeast"/>
      <w:ind w:left="454" w:hanging="454"/>
      <w:jc w:val="both"/>
    </w:pPr>
    <w:rPr>
      <w:rFonts w:ascii="Times New Roman" w:eastAsia="Times New Roman" w:hAnsi="Times New Roman" w:cs="Times New Roman"/>
      <w:color w:val="000000"/>
      <w:sz w:val="24"/>
      <w:szCs w:val="20"/>
      <w:lang w:eastAsia="de-DE"/>
    </w:rPr>
  </w:style>
  <w:style w:type="paragraph" w:customStyle="1" w:styleId="MCaption">
    <w:name w:val="M_Caption"/>
    <w:basedOn w:val="Normal"/>
    <w:pPr>
      <w:spacing w:before="240" w:after="240" w:line="340" w:lineRule="atLeast"/>
      <w:jc w:val="center"/>
    </w:pPr>
    <w:rPr>
      <w:rFonts w:ascii="Times New Roman" w:eastAsia="Times New Roman" w:hAnsi="Times New Roman" w:cs="Times New Roman"/>
      <w:color w:val="000000"/>
      <w:sz w:val="24"/>
      <w:szCs w:val="20"/>
      <w:lang w:eastAsia="de-DE"/>
    </w:rPr>
  </w:style>
  <w:style w:type="paragraph" w:customStyle="1" w:styleId="MFigure">
    <w:name w:val="M_Figure"/>
    <w:basedOn w:val="Normal"/>
    <w:pPr>
      <w:spacing w:before="240" w:after="0" w:line="240" w:lineRule="auto"/>
      <w:jc w:val="center"/>
    </w:pPr>
    <w:rPr>
      <w:rFonts w:ascii="Times New Roman" w:eastAsia="Times New Roman" w:hAnsi="Times New Roman" w:cs="Times New Roman"/>
      <w:color w:val="000000"/>
      <w:sz w:val="24"/>
      <w:szCs w:val="20"/>
      <w:lang w:eastAsia="de-DE"/>
    </w:rPr>
  </w:style>
  <w:style w:type="paragraph" w:customStyle="1" w:styleId="Mtable">
    <w:name w:val="M_table"/>
    <w:basedOn w:val="Normal"/>
    <w:pPr>
      <w:keepNext/>
      <w:tabs>
        <w:tab w:val="left" w:pos="284"/>
      </w:tabs>
      <w:spacing w:after="0" w:line="340" w:lineRule="atLeast"/>
      <w:jc w:val="both"/>
    </w:pPr>
    <w:rPr>
      <w:rFonts w:ascii="Times New Roman" w:eastAsia="Times New Roman" w:hAnsi="Times New Roman" w:cs="Times New Roman"/>
      <w:sz w:val="24"/>
      <w:szCs w:val="20"/>
      <w:lang w:eastAsia="de-DE"/>
    </w:rPr>
  </w:style>
  <w:style w:type="paragraph" w:customStyle="1" w:styleId="Mabstract">
    <w:name w:val="M_abstract"/>
    <w:basedOn w:val="Normal"/>
    <w:pPr>
      <w:spacing w:before="240" w:after="0" w:line="340" w:lineRule="atLeast"/>
      <w:ind w:left="510" w:right="510"/>
      <w:jc w:val="both"/>
    </w:pPr>
    <w:rPr>
      <w:rFonts w:ascii="Times New Roman" w:eastAsia="Times New Roman" w:hAnsi="Times New Roman" w:cs="Times New Roman"/>
      <w:color w:val="000000"/>
      <w:sz w:val="24"/>
      <w:szCs w:val="20"/>
      <w:lang w:eastAsia="de-DE"/>
    </w:rPr>
  </w:style>
  <w:style w:type="paragraph" w:customStyle="1" w:styleId="Maddress">
    <w:name w:val="M_address"/>
    <w:basedOn w:val="Normal"/>
    <w:pPr>
      <w:spacing w:before="240" w:after="0" w:line="340" w:lineRule="atLeast"/>
    </w:pPr>
    <w:rPr>
      <w:rFonts w:ascii="Times New Roman" w:eastAsia="Times New Roman" w:hAnsi="Times New Roman" w:cs="Times New Roman"/>
      <w:color w:val="000000"/>
      <w:sz w:val="24"/>
      <w:szCs w:val="20"/>
      <w:lang w:eastAsia="de-DE"/>
    </w:rPr>
  </w:style>
  <w:style w:type="paragraph" w:customStyle="1" w:styleId="Mauthor">
    <w:name w:val="M_author"/>
    <w:basedOn w:val="Normal"/>
    <w:autoRedefine/>
    <w:pPr>
      <w:spacing w:before="240" w:after="240" w:line="340" w:lineRule="atLeast"/>
    </w:pPr>
    <w:rPr>
      <w:rFonts w:ascii="Times New Roman" w:eastAsia="Times New Roman" w:hAnsi="Times New Roman" w:cs="Times New Roman"/>
      <w:b/>
      <w:color w:val="000000"/>
      <w:sz w:val="28"/>
      <w:szCs w:val="28"/>
      <w:lang w:val="it-IT" w:eastAsia="de-DE"/>
    </w:rPr>
  </w:style>
  <w:style w:type="paragraph" w:customStyle="1" w:styleId="Mreceived">
    <w:name w:val="M_received"/>
    <w:basedOn w:val="Maddress"/>
    <w:rPr>
      <w:i/>
    </w:rPr>
  </w:style>
  <w:style w:type="paragraph" w:customStyle="1" w:styleId="Mline2">
    <w:name w:val="M_line2"/>
    <w:basedOn w:val="Normal"/>
    <w:pPr>
      <w:pBdr>
        <w:bottom w:val="single" w:sz="6" w:space="1" w:color="auto"/>
      </w:pBdr>
      <w:spacing w:after="480" w:line="340" w:lineRule="atLeast"/>
      <w:jc w:val="both"/>
    </w:pPr>
    <w:rPr>
      <w:rFonts w:ascii="Times New Roman" w:eastAsia="Times New Roman" w:hAnsi="Times New Roman" w:cs="Times New Roman"/>
      <w:color w:val="000000"/>
      <w:sz w:val="24"/>
      <w:szCs w:val="20"/>
      <w:lang w:eastAsia="de-DE"/>
    </w:rPr>
  </w:style>
  <w:style w:type="paragraph" w:customStyle="1" w:styleId="MTablecaption">
    <w:name w:val="M_Tablecaption"/>
    <w:basedOn w:val="MCaption"/>
    <w:pPr>
      <w:spacing w:after="0"/>
    </w:pPr>
  </w:style>
  <w:style w:type="paragraph" w:customStyle="1" w:styleId="Mline1">
    <w:name w:val="M_line1"/>
    <w:basedOn w:val="Mline2"/>
    <w:pPr>
      <w:spacing w:after="0"/>
    </w:pPr>
  </w:style>
  <w:style w:type="paragraph" w:customStyle="1" w:styleId="MLogo">
    <w:name w:val="M_Logo"/>
    <w:basedOn w:val="Normal"/>
    <w:pPr>
      <w:spacing w:before="140" w:after="0" w:line="240" w:lineRule="auto"/>
      <w:jc w:val="right"/>
    </w:pPr>
    <w:rPr>
      <w:rFonts w:ascii="Times New Roman" w:eastAsia="Times New Roman" w:hAnsi="Times New Roman" w:cs="Times New Roman"/>
      <w:b/>
      <w:i/>
      <w:color w:val="000000"/>
      <w:sz w:val="64"/>
      <w:szCs w:val="20"/>
      <w:lang w:eastAsia="de-DE"/>
    </w:rPr>
  </w:style>
  <w:style w:type="paragraph" w:customStyle="1" w:styleId="MISSN">
    <w:name w:val="M_ISSN"/>
    <w:basedOn w:val="Normal"/>
    <w:pPr>
      <w:spacing w:after="520" w:line="340" w:lineRule="atLeast"/>
      <w:jc w:val="right"/>
    </w:pPr>
    <w:rPr>
      <w:rFonts w:ascii="Times New Roman" w:eastAsia="Times New Roman" w:hAnsi="Times New Roman" w:cs="Times New Roman"/>
      <w:color w:val="000000"/>
      <w:sz w:val="24"/>
      <w:szCs w:val="20"/>
      <w:lang w:eastAsia="de-DE"/>
    </w:rPr>
  </w:style>
  <w:style w:type="paragraph" w:customStyle="1" w:styleId="MCopyright">
    <w:name w:val="M_Copyright"/>
    <w:basedOn w:val="Normal"/>
    <w:pPr>
      <w:tabs>
        <w:tab w:val="center" w:pos="4536"/>
        <w:tab w:val="right" w:pos="9072"/>
      </w:tabs>
      <w:spacing w:before="240" w:after="0" w:line="340" w:lineRule="atLeast"/>
    </w:pPr>
    <w:rPr>
      <w:rFonts w:ascii="Times New Roman" w:eastAsia="Times New Roman" w:hAnsi="Times New Roman" w:cs="Times New Roman"/>
      <w:color w:val="000000"/>
      <w:sz w:val="24"/>
      <w:szCs w:val="20"/>
      <w:lang w:eastAsia="de-DE"/>
    </w:rPr>
  </w:style>
  <w:style w:type="paragraph" w:customStyle="1" w:styleId="paginaR">
    <w:name w:val="pagina_R"/>
    <w:basedOn w:val="Normal"/>
    <w:uiPriority w:val="99"/>
    <w:pPr>
      <w:autoSpaceDE w:val="0"/>
      <w:autoSpaceDN w:val="0"/>
      <w:adjustRightInd w:val="0"/>
      <w:spacing w:after="0" w:line="288" w:lineRule="auto"/>
      <w:jc w:val="both"/>
      <w:textAlignment w:val="center"/>
    </w:pPr>
    <w:rPr>
      <w:rFonts w:ascii="Times New Roman" w:eastAsia="SimSun" w:hAnsi="Times New Roman" w:cs="Times New Roman"/>
      <w:i/>
      <w:iCs/>
      <w:color w:val="000000"/>
      <w:lang w:val="pl-PL" w:eastAsia="pl-PL"/>
    </w:rPr>
  </w:style>
  <w:style w:type="character" w:customStyle="1" w:styleId="MText0">
    <w:name w:val="M_Text 字符"/>
    <w:basedOn w:val="DefaultParagraphFont"/>
    <w:link w:val="MText"/>
    <w:rPr>
      <w:rFonts w:ascii="Times New Roman" w:eastAsia="Times New Roman" w:hAnsi="Times New Roman" w:cs="Times New Roman"/>
      <w:color w:val="000000"/>
      <w:sz w:val="24"/>
      <w:szCs w:val="20"/>
      <w:lang w:eastAsia="de-DE"/>
    </w:rPr>
  </w:style>
  <w:style w:type="paragraph" w:customStyle="1" w:styleId="17babae4-54f0-44fa-a444-1068224df0ac">
    <w:name w:val="17babae4-54f0-44fa-a444-1068224df0ac"/>
    <w:basedOn w:val="Title"/>
    <w:next w:val="acbfdd8b-e11b-4d36-88ff-6049b138f862"/>
    <w:link w:val="17babae4-54f0-44fa-a444-1068224df0ac0"/>
    <w:pPr>
      <w:keepNext w:val="0"/>
      <w:keepLines w:val="0"/>
      <w:adjustRightInd w:val="0"/>
      <w:spacing w:before="0" w:after="0" w:line="288" w:lineRule="auto"/>
      <w:jc w:val="center"/>
      <w:outlineLvl w:val="0"/>
    </w:pPr>
    <w:rPr>
      <w:rFonts w:ascii="Microsoft YaHei" w:eastAsia="Microsoft YaHei" w:hAnsi="Microsoft YaHei" w:cstheme="majorBidi"/>
      <w:bCs/>
      <w:color w:val="000000"/>
      <w:sz w:val="40"/>
      <w:szCs w:val="24"/>
      <w:lang w:val="en-US" w:eastAsia="de-DE"/>
    </w:rPr>
  </w:style>
  <w:style w:type="paragraph" w:customStyle="1" w:styleId="acbfdd8b-e11b-4d36-88ff-6049b138f862">
    <w:name w:val="acbfdd8b-e11b-4d36-88ff-6049b138f862"/>
    <w:basedOn w:val="BodyText"/>
    <w:link w:val="acbfdd8b-e11b-4d36-88ff-6049b138f8620"/>
    <w:pPr>
      <w:autoSpaceDE/>
      <w:autoSpaceDN/>
      <w:spacing w:line="288" w:lineRule="auto"/>
    </w:pPr>
    <w:rPr>
      <w:rFonts w:ascii="Microsoft YaHei" w:eastAsia="Microsoft YaHei" w:hAnsi="Microsoft YaHei"/>
      <w:color w:val="000000"/>
      <w:lang w:eastAsia="de-DE"/>
    </w:rPr>
  </w:style>
  <w:style w:type="character" w:customStyle="1" w:styleId="17babae4-54f0-44fa-a444-1068224df0ac0">
    <w:name w:val="17babae4-54f0-44fa-a444-1068224df0ac 字符"/>
    <w:basedOn w:val="MText0"/>
    <w:link w:val="17babae4-54f0-44fa-a444-1068224df0ac"/>
    <w:rPr>
      <w:rFonts w:ascii="Microsoft YaHei" w:eastAsia="Microsoft YaHei" w:hAnsi="Microsoft YaHei" w:cstheme="majorBidi"/>
      <w:b/>
      <w:bCs/>
      <w:color w:val="000000"/>
      <w:sz w:val="40"/>
      <w:szCs w:val="24"/>
      <w:lang w:eastAsia="de-DE"/>
    </w:rPr>
  </w:style>
  <w:style w:type="character" w:customStyle="1" w:styleId="acbfdd8b-e11b-4d36-88ff-6049b138f8620">
    <w:name w:val="acbfdd8b-e11b-4d36-88ff-6049b138f862 字符"/>
    <w:basedOn w:val="MText0"/>
    <w:link w:val="acbfdd8b-e11b-4d36-88ff-6049b138f862"/>
    <w:rPr>
      <w:rFonts w:ascii="Microsoft YaHei" w:eastAsia="Microsoft YaHei" w:hAnsi="Microsoft YaHei" w:cs="Times New Roman"/>
      <w:color w:val="000000"/>
      <w:sz w:val="24"/>
      <w:szCs w:val="24"/>
      <w:lang w:eastAsia="de-DE"/>
    </w:rPr>
  </w:style>
  <w:style w:type="character" w:customStyle="1" w:styleId="label">
    <w:name w:val="label"/>
    <w:basedOn w:val="DefaultParagraphFont"/>
  </w:style>
  <w:style w:type="character" w:customStyle="1" w:styleId="orcid-id-https">
    <w:name w:val="orcid-id-https"/>
    <w:basedOn w:val="DefaultParagraphFont"/>
  </w:style>
  <w:style w:type="character" w:customStyle="1" w:styleId="ffe">
    <w:name w:val="ffe"/>
    <w:basedOn w:val="DefaultParagraphFont"/>
  </w:style>
  <w:style w:type="paragraph" w:customStyle="1" w:styleId="01References-APA">
    <w:name w:val="01 References-APA"/>
    <w:qFormat/>
    <w:pPr>
      <w:autoSpaceDE w:val="0"/>
      <w:autoSpaceDN w:val="0"/>
      <w:adjustRightInd w:val="0"/>
      <w:spacing w:after="240"/>
      <w:ind w:left="482" w:hanging="482"/>
      <w:jc w:val="both"/>
    </w:pPr>
    <w:rPr>
      <w:rFonts w:eastAsiaTheme="minorHAnsi"/>
      <w:szCs w:val="24"/>
      <w:lang w:val="en-MY"/>
      <w14:ligatures w14:val="standardContextual"/>
    </w:rPr>
  </w:style>
  <w:style w:type="character" w:customStyle="1" w:styleId="wordwithsynonyms2z56d11">
    <w:name w:val="_wordwithsynonyms_2z56d_11"/>
    <w:basedOn w:val="DefaultParagraphFont"/>
  </w:style>
  <w:style w:type="paragraph" w:customStyle="1" w:styleId="TitleTable">
    <w:name w:val="TitleTable"/>
    <w:basedOn w:val="Caption"/>
    <w:link w:val="TitleTableChar1"/>
    <w:qFormat/>
    <w:pPr>
      <w:keepNext w:val="0"/>
      <w:spacing w:after="0" w:line="240" w:lineRule="auto"/>
    </w:pPr>
    <w:rPr>
      <w:rFonts w:eastAsia="Calibri"/>
      <w:b w:val="0"/>
      <w:i/>
      <w:szCs w:val="18"/>
    </w:rPr>
  </w:style>
  <w:style w:type="character" w:customStyle="1" w:styleId="TitleTableChar1">
    <w:name w:val="TitleTable Char1"/>
    <w:basedOn w:val="CaptionChar"/>
    <w:link w:val="TitleTable"/>
    <w:qFormat/>
    <w:rPr>
      <w:rFonts w:ascii="Times New Roman" w:eastAsia="Calibri" w:hAnsi="Times New Roman" w:cs="Times New Roman"/>
      <w:b w:val="0"/>
      <w:bCs/>
      <w:i/>
      <w:szCs w:val="18"/>
    </w:rPr>
  </w:style>
  <w:style w:type="table" w:customStyle="1" w:styleId="TablesIIUM">
    <w:name w:val="Tables IIUM"/>
    <w:basedOn w:val="TableNormal"/>
    <w:uiPriority w:val="99"/>
    <w:qFormat/>
    <w:rPr>
      <w:rFonts w:eastAsiaTheme="minorHAnsi"/>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UnresolvedMention">
    <w:name w:val="Unresolved Mention"/>
    <w:basedOn w:val="DefaultParagraphFont"/>
    <w:uiPriority w:val="99"/>
    <w:semiHidden/>
    <w:unhideWhenUsed/>
    <w:rsid w:val="00D830F8"/>
    <w:rPr>
      <w:color w:val="605E5C"/>
      <w:shd w:val="clear" w:color="auto" w:fill="E1DFDD"/>
    </w:rPr>
  </w:style>
  <w:style w:type="table" w:customStyle="1" w:styleId="Style14">
    <w:name w:val="_Style 14"/>
    <w:autoRedefine/>
    <w:qFormat/>
    <w:rsid w:val="001961ED"/>
    <w:pPr>
      <w:widowControl w:val="0"/>
    </w:pPr>
    <w:rPr>
      <w:rFonts w:eastAsia="Times New Roman"/>
      <w:lang w:val="en-MY" w:eastAsia="zh-CN"/>
    </w:rPr>
    <w:tblPr>
      <w:tblCellMar>
        <w:top w:w="0" w:type="dxa"/>
        <w:left w:w="108" w:type="dxa"/>
        <w:bottom w:w="0" w:type="dxa"/>
        <w:right w:w="108" w:type="dxa"/>
      </w:tblCellMar>
    </w:tblPr>
  </w:style>
  <w:style w:type="table" w:customStyle="1" w:styleId="Style15">
    <w:name w:val="_Style 15"/>
    <w:autoRedefine/>
    <w:qFormat/>
    <w:rsid w:val="001961ED"/>
    <w:pPr>
      <w:widowControl w:val="0"/>
    </w:pPr>
    <w:rPr>
      <w:rFonts w:eastAsia="Times New Roman"/>
      <w:lang w:val="en-MY" w:eastAsia="zh-CN"/>
    </w:rPr>
    <w:tblPr>
      <w:tblCellMar>
        <w:top w:w="0" w:type="dxa"/>
        <w:left w:w="108" w:type="dxa"/>
        <w:bottom w:w="0" w:type="dxa"/>
        <w:right w:w="108" w:type="dxa"/>
      </w:tblCellMar>
    </w:tblPr>
  </w:style>
  <w:style w:type="table" w:customStyle="1" w:styleId="Style18">
    <w:name w:val="_Style 18"/>
    <w:autoRedefine/>
    <w:qFormat/>
    <w:rsid w:val="001961ED"/>
    <w:pPr>
      <w:widowControl w:val="0"/>
    </w:pPr>
    <w:rPr>
      <w:lang w:val="en-MY" w:eastAsia="zh-CN"/>
    </w:rPr>
    <w:tblPr>
      <w:tblCellMar>
        <w:top w:w="0" w:type="dxa"/>
        <w:left w:w="108" w:type="dxa"/>
        <w:bottom w:w="0" w:type="dxa"/>
        <w:right w:w="108" w:type="dxa"/>
      </w:tblCellMar>
    </w:tblPr>
  </w:style>
  <w:style w:type="table" w:customStyle="1" w:styleId="Style19">
    <w:name w:val="_Style 19"/>
    <w:autoRedefine/>
    <w:qFormat/>
    <w:rsid w:val="001961ED"/>
    <w:pPr>
      <w:widowControl w:val="0"/>
    </w:pPr>
    <w:rPr>
      <w:lang w:val="en-MY" w:eastAsia="zh-CN"/>
    </w:rPr>
    <w:tblPr>
      <w:tblCellMar>
        <w:top w:w="0" w:type="dxa"/>
        <w:left w:w="115" w:type="dxa"/>
        <w:bottom w:w="0" w:type="dxa"/>
        <w:right w:w="115" w:type="dxa"/>
      </w:tblCellMar>
    </w:tblPr>
  </w:style>
  <w:style w:type="table" w:customStyle="1" w:styleId="Style200">
    <w:name w:val="_Style 20"/>
    <w:autoRedefine/>
    <w:qFormat/>
    <w:rsid w:val="001961ED"/>
    <w:pPr>
      <w:widowControl w:val="0"/>
    </w:pPr>
    <w:rPr>
      <w:lang w:val="en-MY" w:eastAsia="zh-CN"/>
    </w:rPr>
    <w:tblPr>
      <w:tblCellMar>
        <w:top w:w="0" w:type="dxa"/>
        <w:left w:w="115" w:type="dxa"/>
        <w:bottom w:w="0" w:type="dxa"/>
        <w:right w:w="115" w:type="dxa"/>
      </w:tblCellMar>
    </w:tblPr>
  </w:style>
  <w:style w:type="table" w:customStyle="1" w:styleId="Style22">
    <w:name w:val="_Style 22"/>
    <w:autoRedefine/>
    <w:qFormat/>
    <w:rsid w:val="001961ED"/>
    <w:pPr>
      <w:widowControl w:val="0"/>
    </w:pPr>
    <w:rPr>
      <w:lang w:val="en-MY" w:eastAsia="zh-CN"/>
    </w:rPr>
    <w:tblPr>
      <w:tblCellMar>
        <w:top w:w="0" w:type="dxa"/>
        <w:left w:w="108" w:type="dxa"/>
        <w:bottom w:w="0" w:type="dxa"/>
        <w:right w:w="108" w:type="dxa"/>
      </w:tblCellMar>
    </w:tblPr>
  </w:style>
  <w:style w:type="table" w:customStyle="1" w:styleId="Style23">
    <w:name w:val="_Style 23"/>
    <w:autoRedefine/>
    <w:qFormat/>
    <w:rsid w:val="001961ED"/>
    <w:pPr>
      <w:widowControl w:val="0"/>
    </w:pPr>
    <w:rPr>
      <w:lang w:val="en-MY" w:eastAsia="zh-CN"/>
    </w:rPr>
    <w:tblPr>
      <w:tblCellMar>
        <w:top w:w="0" w:type="dxa"/>
        <w:left w:w="108" w:type="dxa"/>
        <w:bottom w:w="0" w:type="dxa"/>
        <w:right w:w="108" w:type="dxa"/>
      </w:tblCellMar>
    </w:tblPr>
  </w:style>
  <w:style w:type="table" w:customStyle="1" w:styleId="Style24">
    <w:name w:val="_Style 24"/>
    <w:autoRedefine/>
    <w:qFormat/>
    <w:rsid w:val="001961ED"/>
    <w:pPr>
      <w:widowControl w:val="0"/>
    </w:pPr>
    <w:rPr>
      <w:lang w:val="en-MY" w:eastAsia="zh-CN"/>
    </w:rPr>
    <w:tblPr>
      <w:tblCellMar>
        <w:top w:w="0" w:type="dxa"/>
        <w:left w:w="108" w:type="dxa"/>
        <w:bottom w:w="0" w:type="dxa"/>
        <w:right w:w="108" w:type="dxa"/>
      </w:tblCellMar>
    </w:tblPr>
  </w:style>
  <w:style w:type="table" w:customStyle="1" w:styleId="Style25">
    <w:name w:val="_Style 25"/>
    <w:autoRedefine/>
    <w:qFormat/>
    <w:rsid w:val="001961ED"/>
    <w:pPr>
      <w:widowControl w:val="0"/>
    </w:pPr>
    <w:rPr>
      <w:lang w:val="en-MY" w:eastAsia="zh-CN"/>
    </w:rPr>
    <w:tblPr>
      <w:tblCellMar>
        <w:top w:w="0" w:type="dxa"/>
        <w:left w:w="108" w:type="dxa"/>
        <w:bottom w:w="0" w:type="dxa"/>
        <w:right w:w="108" w:type="dxa"/>
      </w:tblCellMar>
    </w:tblPr>
  </w:style>
  <w:style w:type="table" w:customStyle="1" w:styleId="Style26">
    <w:name w:val="_Style 26"/>
    <w:autoRedefine/>
    <w:qFormat/>
    <w:rsid w:val="001961ED"/>
    <w:pPr>
      <w:widowControl w:val="0"/>
    </w:pPr>
    <w:rPr>
      <w:lang w:val="en-MY" w:eastAsia="zh-CN"/>
    </w:rPr>
    <w:tblPr>
      <w:tblCellMar>
        <w:top w:w="0" w:type="dxa"/>
        <w:left w:w="108" w:type="dxa"/>
        <w:bottom w:w="0" w:type="dxa"/>
        <w:right w:w="108" w:type="dxa"/>
      </w:tblCellMar>
    </w:tblPr>
  </w:style>
  <w:style w:type="table" w:customStyle="1" w:styleId="Style27">
    <w:name w:val="_Style 27"/>
    <w:autoRedefine/>
    <w:qFormat/>
    <w:rsid w:val="001961ED"/>
    <w:pPr>
      <w:widowControl w:val="0"/>
    </w:pPr>
    <w:rPr>
      <w:lang w:val="en-MY" w:eastAsia="zh-CN"/>
    </w:rPr>
    <w:tblPr>
      <w:tblCellMar>
        <w:top w:w="0" w:type="dxa"/>
        <w:left w:w="108" w:type="dxa"/>
        <w:bottom w:w="0" w:type="dxa"/>
        <w:right w:w="108" w:type="dxa"/>
      </w:tblCellMar>
    </w:tblPr>
  </w:style>
  <w:style w:type="table" w:customStyle="1" w:styleId="Style28">
    <w:name w:val="_Style 28"/>
    <w:autoRedefine/>
    <w:qFormat/>
    <w:rsid w:val="001961ED"/>
    <w:pPr>
      <w:widowControl w:val="0"/>
    </w:pPr>
    <w:rPr>
      <w:lang w:val="en-MY" w:eastAsia="zh-CN"/>
    </w:rPr>
    <w:tblPr>
      <w:tblCellMar>
        <w:top w:w="0" w:type="dxa"/>
        <w:left w:w="108" w:type="dxa"/>
        <w:bottom w:w="0" w:type="dxa"/>
        <w:right w:w="108" w:type="dxa"/>
      </w:tblCellMar>
    </w:tblPr>
  </w:style>
  <w:style w:type="table" w:customStyle="1" w:styleId="Style29">
    <w:name w:val="_Style 29"/>
    <w:autoRedefine/>
    <w:qFormat/>
    <w:rsid w:val="001961ED"/>
    <w:pPr>
      <w:widowControl w:val="0"/>
    </w:pPr>
    <w:rPr>
      <w:lang w:val="en-MY" w:eastAsia="zh-CN"/>
    </w:rPr>
    <w:tblPr>
      <w:tblCellMar>
        <w:top w:w="0" w:type="dxa"/>
        <w:left w:w="108" w:type="dxa"/>
        <w:bottom w:w="0" w:type="dxa"/>
        <w:right w:w="108" w:type="dxa"/>
      </w:tblCellMar>
    </w:tblPr>
  </w:style>
  <w:style w:type="paragraph" w:customStyle="1" w:styleId="JICT-Title">
    <w:name w:val="JICT-Title"/>
    <w:basedOn w:val="Normal"/>
    <w:link w:val="JICT-TitleChar"/>
    <w:qFormat/>
    <w:rsid w:val="00EB3DB3"/>
    <w:pPr>
      <w:widowControl w:val="0"/>
      <w:kinsoku w:val="0"/>
      <w:overflowPunct w:val="0"/>
      <w:spacing w:before="100" w:beforeAutospacing="1" w:after="100" w:afterAutospacing="1" w:line="480" w:lineRule="auto"/>
      <w:ind w:firstLine="360"/>
      <w:jc w:val="center"/>
      <w:textAlignment w:val="baseline"/>
    </w:pPr>
    <w:rPr>
      <w:rFonts w:ascii="Times New Roman" w:eastAsia="Times New Roman" w:hAnsi="Times New Roman" w:cs="Times New Roman"/>
      <w:b/>
      <w:bCs/>
      <w:spacing w:val="4"/>
      <w:sz w:val="24"/>
      <w:szCs w:val="28"/>
      <w:lang w:val="en-MY"/>
    </w:rPr>
  </w:style>
  <w:style w:type="character" w:customStyle="1" w:styleId="JICT-TitleChar">
    <w:name w:val="JICT-Title Char"/>
    <w:link w:val="JICT-Title"/>
    <w:rsid w:val="00EB3DB3"/>
    <w:rPr>
      <w:rFonts w:eastAsia="Times New Roman"/>
      <w:b/>
      <w:bCs/>
      <w:spacing w:val="4"/>
      <w:sz w:val="24"/>
      <w:szCs w:val="28"/>
      <w:lang w:val="en-MY"/>
    </w:rPr>
  </w:style>
  <w:style w:type="numbering" w:customStyle="1" w:styleId="NoList1">
    <w:name w:val="No List1"/>
    <w:next w:val="NoList"/>
    <w:uiPriority w:val="99"/>
    <w:semiHidden/>
    <w:unhideWhenUsed/>
    <w:rsid w:val="005055C4"/>
  </w:style>
  <w:style w:type="character" w:styleId="BookTitle">
    <w:name w:val="Book Title"/>
    <w:basedOn w:val="DefaultParagraphFont"/>
    <w:uiPriority w:val="33"/>
    <w:qFormat/>
    <w:rsid w:val="005055C4"/>
    <w:rPr>
      <w:b/>
      <w:bCs/>
      <w:smallCaps/>
      <w:spacing w:val="5"/>
    </w:rPr>
  </w:style>
  <w:style w:type="paragraph" w:styleId="TOCHeading">
    <w:name w:val="TOC Heading"/>
    <w:basedOn w:val="Heading1"/>
    <w:next w:val="Normal"/>
    <w:uiPriority w:val="39"/>
    <w:unhideWhenUsed/>
    <w:qFormat/>
    <w:rsid w:val="005055C4"/>
    <w:pPr>
      <w:spacing w:line="276" w:lineRule="auto"/>
      <w:ind w:firstLine="0"/>
      <w:outlineLvl w:val="9"/>
    </w:pPr>
    <w:rPr>
      <w:lang w:eastAsia="ja-JP" w:bidi="ar-SA"/>
    </w:rPr>
  </w:style>
  <w:style w:type="paragraph" w:customStyle="1" w:styleId="Displayedquotation">
    <w:name w:val="Displayed quotation"/>
    <w:basedOn w:val="Normal"/>
    <w:qFormat/>
    <w:rsid w:val="005055C4"/>
    <w:pPr>
      <w:tabs>
        <w:tab w:val="left" w:pos="1077"/>
        <w:tab w:val="left" w:pos="1440"/>
        <w:tab w:val="left" w:pos="1797"/>
        <w:tab w:val="left" w:pos="2155"/>
        <w:tab w:val="left" w:pos="2512"/>
      </w:tabs>
      <w:spacing w:before="240" w:after="360" w:line="360" w:lineRule="auto"/>
      <w:ind w:left="709" w:right="425"/>
      <w:contextualSpacing/>
    </w:pPr>
    <w:rPr>
      <w:rFonts w:ascii="Times New Roman" w:eastAsia="Times New Roman" w:hAnsi="Times New Roman" w:cs="Times New Roman"/>
      <w:szCs w:val="24"/>
      <w:lang w:val="en-GB" w:eastAsia="en-GB"/>
    </w:rPr>
  </w:style>
  <w:style w:type="character" w:customStyle="1" w:styleId="NewparagraphChar">
    <w:name w:val="New paragraph Char"/>
    <w:link w:val="Newparagraph"/>
    <w:rsid w:val="005055C4"/>
    <w:rPr>
      <w:rFonts w:eastAsia="Times New Roman"/>
      <w:sz w:val="24"/>
      <w:szCs w:val="24"/>
      <w:lang w:val="en-GB" w:eastAsia="en-GB"/>
    </w:rPr>
  </w:style>
  <w:style w:type="paragraph" w:customStyle="1" w:styleId="Figurecaption2">
    <w:name w:val="Figure caption"/>
    <w:basedOn w:val="Normal"/>
    <w:next w:val="Normal"/>
    <w:qFormat/>
    <w:rsid w:val="005055C4"/>
    <w:pPr>
      <w:spacing w:before="240" w:after="0" w:line="360" w:lineRule="auto"/>
    </w:pPr>
    <w:rPr>
      <w:rFonts w:ascii="Times New Roman" w:eastAsia="Times New Roman" w:hAnsi="Times New Roman" w:cs="Times New Roman"/>
      <w:sz w:val="24"/>
      <w:szCs w:val="24"/>
      <w:lang w:val="en-GB" w:eastAsia="en-GB"/>
    </w:rPr>
  </w:style>
  <w:style w:type="paragraph" w:customStyle="1" w:styleId="Articletitle">
    <w:name w:val="Article title"/>
    <w:basedOn w:val="Normal"/>
    <w:next w:val="Normal"/>
    <w:qFormat/>
    <w:rsid w:val="005055C4"/>
    <w:pPr>
      <w:spacing w:after="120" w:line="360" w:lineRule="auto"/>
    </w:pPr>
    <w:rPr>
      <w:rFonts w:ascii="Times New Roman" w:eastAsia="Times New Roman" w:hAnsi="Times New Roman" w:cs="Times New Roman"/>
      <w:b/>
      <w:sz w:val="28"/>
      <w:szCs w:val="24"/>
      <w:lang w:val="en-GB" w:eastAsia="en-GB"/>
    </w:rPr>
  </w:style>
  <w:style w:type="table" w:customStyle="1" w:styleId="Style83">
    <w:name w:val="_Style 83"/>
    <w:basedOn w:val="TableNormal1"/>
    <w:qFormat/>
    <w:rsid w:val="009E3467"/>
    <w:rPr>
      <w:rFonts w:ascii="Times New Roman" w:eastAsiaTheme="minorEastAsia" w:hAnsi="Times New Roman"/>
      <w:lang w:val="en-US" w:eastAsia="zh-CN"/>
    </w:rPr>
    <w:tblPr>
      <w:tblCellMar>
        <w:left w:w="115" w:type="dxa"/>
        <w:right w:w="115" w:type="dxa"/>
      </w:tblCellMar>
    </w:tblPr>
  </w:style>
  <w:style w:type="table" w:customStyle="1" w:styleId="Style84">
    <w:name w:val="_Style 84"/>
    <w:basedOn w:val="TableNormal1"/>
    <w:qFormat/>
    <w:rsid w:val="009E3467"/>
    <w:rPr>
      <w:rFonts w:ascii="Times New Roman" w:eastAsiaTheme="minorEastAsia" w:hAnsi="Times New Roman"/>
      <w:lang w:val="en-US" w:eastAsia="zh-CN"/>
    </w:rPr>
    <w:tblPr>
      <w:tblCellMar>
        <w:left w:w="115" w:type="dxa"/>
        <w:right w:w="115" w:type="dxa"/>
      </w:tblCellMar>
    </w:tblPr>
  </w:style>
  <w:style w:type="paragraph" w:customStyle="1" w:styleId="MDPI13authornames">
    <w:name w:val="MDPI_1.3_authornames"/>
    <w:basedOn w:val="Normal"/>
    <w:next w:val="Normal"/>
    <w:qFormat/>
    <w:rsid w:val="0064066E"/>
    <w:pPr>
      <w:adjustRightInd w:val="0"/>
      <w:snapToGrid w:val="0"/>
      <w:spacing w:before="100" w:beforeAutospacing="1" w:after="360" w:line="260" w:lineRule="atLeast"/>
    </w:pPr>
    <w:rPr>
      <w:rFonts w:ascii="Palatino Linotype" w:eastAsia="Times New Roman" w:hAnsi="Palatino Linotype" w:cs="Times New Roman"/>
      <w:b/>
      <w:color w:val="000000"/>
      <w:sz w:val="24"/>
      <w:szCs w:val="24"/>
      <w:lang w:eastAsia="zh-CN"/>
    </w:rPr>
  </w:style>
  <w:style w:type="paragraph" w:styleId="Revision">
    <w:name w:val="Revision"/>
    <w:hidden/>
    <w:uiPriority w:val="99"/>
    <w:semiHidden/>
    <w:rsid w:val="00D309BC"/>
    <w:rPr>
      <w:rFonts w:eastAsia="Times New Roman"/>
      <w:sz w:val="24"/>
      <w:szCs w:val="24"/>
      <w:lang w:val="en-MY"/>
    </w:rPr>
  </w:style>
  <w:style w:type="paragraph" w:styleId="Bibliography">
    <w:name w:val="Bibliography"/>
    <w:basedOn w:val="Normal"/>
    <w:next w:val="Normal"/>
    <w:uiPriority w:val="37"/>
    <w:unhideWhenUsed/>
    <w:rsid w:val="00D309BC"/>
    <w:pPr>
      <w:spacing w:after="0" w:line="240" w:lineRule="auto"/>
    </w:pPr>
    <w:rPr>
      <w:rFonts w:ascii="Times New Roman" w:eastAsia="Times New Roman" w:hAnsi="Times New Roman" w:cs="Times New Roman"/>
      <w:sz w:val="24"/>
      <w:szCs w:val="24"/>
      <w:lang w:val="en-MY"/>
    </w:rPr>
  </w:style>
  <w:style w:type="table" w:customStyle="1" w:styleId="Style3">
    <w:name w:val="Style3"/>
    <w:basedOn w:val="TableSimple1"/>
    <w:uiPriority w:val="99"/>
    <w:rsid w:val="003E403D"/>
    <w:pPr>
      <w:spacing w:line="480" w:lineRule="auto"/>
      <w:ind w:firstLine="720"/>
    </w:pPr>
    <w:rPr>
      <w:rFonts w:ascii="Calibri" w:eastAsia="Times New Roman" w:hAnsi="Calibri"/>
    </w:r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3E403D"/>
    <w:rPr>
      <w:rFonts w:asciiTheme="minorHAnsi" w:eastAsiaTheme="minorHAnsi" w:hAnsiTheme="minorHAnsi" w:cstheme="minorBidi"/>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Style5">
    <w:name w:val="Style5"/>
    <w:basedOn w:val="TableSimple1"/>
    <w:uiPriority w:val="99"/>
    <w:rsid w:val="003E403D"/>
    <w:rPr>
      <w:rFonts w:ascii="Calibri" w:eastAsia="Times New Roman" w:hAnsi="Calibri" w:cs="Times New Roman"/>
      <w:sz w:val="20"/>
      <w:szCs w:val="20"/>
    </w:r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Title0">
    <w:name w:val="Table Title"/>
    <w:basedOn w:val="Normal"/>
    <w:next w:val="Normal"/>
    <w:link w:val="TableTitleCharChar"/>
    <w:qFormat/>
    <w:rsid w:val="003E403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autoSpaceDE w:val="0"/>
      <w:autoSpaceDN w:val="0"/>
      <w:adjustRightInd w:val="0"/>
      <w:spacing w:after="120" w:line="240" w:lineRule="auto"/>
    </w:pPr>
    <w:rPr>
      <w:rFonts w:ascii="Times New Roman" w:eastAsia="Times New Roman" w:hAnsi="Times New Roman" w:cs="Times New Roman"/>
      <w:iCs/>
      <w:sz w:val="24"/>
      <w:szCs w:val="24"/>
    </w:rPr>
  </w:style>
  <w:style w:type="character" w:customStyle="1" w:styleId="TableTitleCharChar">
    <w:name w:val="Table Title Char Char"/>
    <w:basedOn w:val="DefaultParagraphFont"/>
    <w:link w:val="TableTitle0"/>
    <w:rsid w:val="003E403D"/>
    <w:rPr>
      <w:rFonts w:eastAsia="Times New Roman"/>
      <w:iCs/>
      <w:sz w:val="24"/>
      <w:szCs w:val="24"/>
    </w:rPr>
  </w:style>
  <w:style w:type="paragraph" w:customStyle="1" w:styleId="Criterion">
    <w:name w:val="Criterion"/>
    <w:basedOn w:val="Normal"/>
    <w:qFormat/>
    <w:rsid w:val="003E403D"/>
    <w:pPr>
      <w:spacing w:before="40" w:after="40" w:line="240" w:lineRule="auto"/>
    </w:pPr>
    <w:rPr>
      <w:rFonts w:ascii="Times New Roman" w:eastAsia="Calibri" w:hAnsi="Times New Roman" w:cs="Times New Roman"/>
      <w:sz w:val="20"/>
      <w:szCs w:val="24"/>
    </w:rPr>
  </w:style>
  <w:style w:type="character" w:customStyle="1" w:styleId="bad">
    <w:name w:val="bad"/>
    <w:basedOn w:val="DefaultParagraphFont"/>
    <w:rsid w:val="003E403D"/>
  </w:style>
  <w:style w:type="character" w:customStyle="1" w:styleId="good">
    <w:name w:val="good"/>
    <w:basedOn w:val="DefaultParagraphFont"/>
    <w:rsid w:val="003E403D"/>
  </w:style>
  <w:style w:type="character" w:customStyle="1" w:styleId="whitespace-nowrap">
    <w:name w:val="whitespace-nowrap"/>
    <w:basedOn w:val="DefaultParagraphFont"/>
    <w:rsid w:val="003E403D"/>
  </w:style>
  <w:style w:type="character" w:customStyle="1" w:styleId="relative">
    <w:name w:val="relative"/>
    <w:basedOn w:val="DefaultParagraphFont"/>
    <w:rsid w:val="003E403D"/>
  </w:style>
  <w:style w:type="table" w:customStyle="1" w:styleId="Style7">
    <w:name w:val="Style7"/>
    <w:basedOn w:val="TableSimple1"/>
    <w:uiPriority w:val="99"/>
    <w:rsid w:val="003E403D"/>
    <w:rPr>
      <w:rFonts w:ascii="Calibri" w:eastAsia="Times New Roman" w:hAnsi="Calibri" w:cs="Times New Roman"/>
      <w:sz w:val="20"/>
      <w:szCs w:val="20"/>
    </w:rPr>
    <w:tblPr>
      <w:tblBorders>
        <w:top w:val="single" w:sz="4" w:space="0" w:color="000000"/>
        <w:bottom w:val="single" w:sz="4" w:space="0" w:color="000000"/>
      </w:tblBorders>
    </w:tblPr>
    <w:tcPr>
      <w:shd w:val="clear" w:color="auto" w:fill="FFFF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tandardohneEinzug">
    <w:name w:val="Standard ohne Einzug"/>
    <w:basedOn w:val="Normal"/>
    <w:rsid w:val="00C112D2"/>
    <w:pPr>
      <w:spacing w:before="240" w:after="120" w:line="360" w:lineRule="auto"/>
    </w:pPr>
    <w:rPr>
      <w:rFonts w:ascii="Times New Roman" w:eastAsia="Times New Roman" w:hAnsi="Times New Roman" w:cs="Times New Roman"/>
      <w:iCs/>
      <w:sz w:val="19"/>
      <w:szCs w:val="24"/>
      <w:lang w:val="de-DE" w:eastAsia="de-DE"/>
    </w:rPr>
  </w:style>
  <w:style w:type="paragraph" w:customStyle="1" w:styleId="Anhangberschrift">
    <w:name w:val="Anhangüberschrift"/>
    <w:basedOn w:val="Heading1"/>
    <w:qFormat/>
    <w:rsid w:val="00C112D2"/>
    <w:pPr>
      <w:keepLines w:val="0"/>
      <w:spacing w:before="360" w:after="120" w:line="360" w:lineRule="auto"/>
      <w:ind w:firstLine="0"/>
    </w:pPr>
    <w:rPr>
      <w:rFonts w:ascii="Arial" w:eastAsia="Times New Roman" w:hAnsi="Arial" w:cs="Times New Roman"/>
      <w:bCs w:val="0"/>
      <w:iCs/>
      <w:color w:val="auto"/>
      <w:kern w:val="32"/>
      <w:lang w:val="x-none" w:eastAsia="x-none" w:bidi="he-IL"/>
    </w:rPr>
  </w:style>
  <w:style w:type="paragraph" w:customStyle="1" w:styleId="p0">
    <w:name w:val="p0"/>
    <w:basedOn w:val="Normal"/>
    <w:rsid w:val="00016DAC"/>
    <w:pPr>
      <w:spacing w:after="200" w:line="273" w:lineRule="auto"/>
    </w:pPr>
    <w:rPr>
      <w:rFonts w:ascii="Calibri" w:eastAsia="Times New Roman" w:hAnsi="Calibri" w:cs="Times New Roman"/>
      <w:lang w:bidi="en-US"/>
    </w:rPr>
  </w:style>
  <w:style w:type="paragraph" w:customStyle="1" w:styleId="p18">
    <w:name w:val="p18"/>
    <w:basedOn w:val="Normal"/>
    <w:rsid w:val="00016DAC"/>
    <w:pPr>
      <w:spacing w:after="200" w:line="268" w:lineRule="auto"/>
    </w:pPr>
    <w:rPr>
      <w:rFonts w:ascii="Calibri" w:eastAsia="Times New Roman" w:hAnsi="Calibri" w:cs="Times New Roman"/>
    </w:rPr>
  </w:style>
  <w:style w:type="paragraph" w:customStyle="1" w:styleId="jkuatrefrences">
    <w:name w:val="jkuat refrences"/>
    <w:basedOn w:val="Normal"/>
    <w:qFormat/>
    <w:rsid w:val="00D93A77"/>
    <w:pPr>
      <w:spacing w:after="0" w:line="480" w:lineRule="auto"/>
      <w:contextualSpacing/>
      <w:jc w:val="both"/>
    </w:pPr>
    <w:rPr>
      <w:rFonts w:ascii="Times New Roman" w:eastAsiaTheme="minorHAnsi" w:hAnsi="Times New Roman"/>
      <w:sz w:val="24"/>
    </w:rPr>
  </w:style>
  <w:style w:type="table" w:customStyle="1" w:styleId="LightShading12">
    <w:name w:val="Light Shading12"/>
    <w:basedOn w:val="TableNormal"/>
    <w:next w:val="LightShading1"/>
    <w:uiPriority w:val="60"/>
    <w:rsid w:val="00D93A77"/>
    <w:pPr>
      <w:jc w:val="both"/>
    </w:pPr>
    <w:rPr>
      <w:rFonts w:eastAsiaTheme="minorHAnsi" w:cstheme="minorBidi"/>
      <w:color w:val="000000"/>
      <w:sz w:val="24"/>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TableNormal"/>
    <w:uiPriority w:val="60"/>
    <w:rsid w:val="00D93A77"/>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TableNormal"/>
    <w:uiPriority w:val="60"/>
    <w:rsid w:val="00D93A77"/>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PlainTable2">
    <w:name w:val="Plain Table 2"/>
    <w:basedOn w:val="TableNormal"/>
    <w:uiPriority w:val="42"/>
    <w:rsid w:val="00D93A77"/>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3">
    <w:name w:val="Plain Table 23"/>
    <w:basedOn w:val="TableNormal"/>
    <w:next w:val="PlainTable2"/>
    <w:uiPriority w:val="42"/>
    <w:rsid w:val="00D93A77"/>
    <w:pPr>
      <w:jc w:val="both"/>
    </w:pPr>
    <w:rPr>
      <w:rFonts w:eastAsia="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a18">
    <w:name w:val="Pa18"/>
    <w:basedOn w:val="Default"/>
    <w:next w:val="Default"/>
    <w:uiPriority w:val="99"/>
    <w:rsid w:val="001A2FC8"/>
    <w:pPr>
      <w:spacing w:line="241" w:lineRule="atLeast"/>
    </w:pPr>
    <w:rPr>
      <w:rFonts w:ascii="Calibri" w:eastAsiaTheme="minorHAnsi" w:hAnsi="Calibri" w:cs="Calibri"/>
      <w:color w:val="auto"/>
    </w:rPr>
  </w:style>
  <w:style w:type="character" w:customStyle="1" w:styleId="A70">
    <w:name w:val="A7"/>
    <w:uiPriority w:val="99"/>
    <w:rsid w:val="001A2FC8"/>
    <w:rPr>
      <w:b/>
      <w:bCs/>
      <w:color w:val="000000"/>
      <w:sz w:val="9"/>
      <w:szCs w:val="9"/>
    </w:rPr>
  </w:style>
  <w:style w:type="character" w:customStyle="1" w:styleId="A80">
    <w:name w:val="A8"/>
    <w:uiPriority w:val="99"/>
    <w:rsid w:val="001A2FC8"/>
    <w:rPr>
      <w:i/>
      <w:iCs/>
      <w:color w:val="000000"/>
      <w:sz w:val="8"/>
      <w:szCs w:val="8"/>
    </w:rPr>
  </w:style>
  <w:style w:type="table" w:styleId="ListTable6Colorful">
    <w:name w:val="List Table 6 Colorful"/>
    <w:basedOn w:val="TableNormal"/>
    <w:uiPriority w:val="51"/>
    <w:rsid w:val="001A2FC8"/>
    <w:rPr>
      <w:rFonts w:asciiTheme="minorHAnsi" w:eastAsiaTheme="minorHAnsi" w:hAnsiTheme="minorHAnsi" w:cstheme="minorBidi"/>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IntenseEmphasis">
    <w:name w:val="Intense Emphasis"/>
    <w:basedOn w:val="DefaultParagraphFont"/>
    <w:uiPriority w:val="21"/>
    <w:qFormat/>
    <w:rsid w:val="009E0A6F"/>
    <w:rPr>
      <w:i/>
      <w:iCs/>
      <w:color w:val="2F5496" w:themeColor="accent1" w:themeShade="BF"/>
    </w:rPr>
  </w:style>
  <w:style w:type="character" w:styleId="IntenseReference">
    <w:name w:val="Intense Reference"/>
    <w:basedOn w:val="DefaultParagraphFont"/>
    <w:uiPriority w:val="32"/>
    <w:qFormat/>
    <w:rsid w:val="009E0A6F"/>
    <w:rPr>
      <w:b/>
      <w:bCs/>
      <w:smallCaps/>
      <w:color w:val="2F5496" w:themeColor="accent1" w:themeShade="BF"/>
      <w:spacing w:val="5"/>
    </w:rPr>
  </w:style>
  <w:style w:type="character" w:styleId="SubtleEmphasis">
    <w:name w:val="Subtle Emphasis"/>
    <w:uiPriority w:val="19"/>
    <w:qFormat/>
    <w:rsid w:val="009E0A6F"/>
    <w:rPr>
      <w:i/>
      <w:iCs/>
      <w:color w:val="7F7F7F"/>
    </w:rPr>
  </w:style>
  <w:style w:type="paragraph" w:customStyle="1" w:styleId="Paragraphs">
    <w:name w:val="Paragraphs"/>
    <w:basedOn w:val="Normal"/>
    <w:link w:val="ParagraphsChar"/>
    <w:qFormat/>
    <w:rsid w:val="009E0A6F"/>
    <w:pPr>
      <w:spacing w:after="0" w:line="240" w:lineRule="auto"/>
      <w:ind w:firstLine="432"/>
      <w:jc w:val="both"/>
    </w:pPr>
    <w:rPr>
      <w:rFonts w:ascii="Candara" w:eastAsiaTheme="minorHAnsi" w:hAnsi="Candara" w:cstheme="majorBidi"/>
      <w:sz w:val="18"/>
      <w:szCs w:val="18"/>
    </w:rPr>
  </w:style>
  <w:style w:type="character" w:customStyle="1" w:styleId="ParagraphsChar">
    <w:name w:val="Paragraphs Char"/>
    <w:basedOn w:val="DefaultParagraphFont"/>
    <w:link w:val="Paragraphs"/>
    <w:rsid w:val="009E0A6F"/>
    <w:rPr>
      <w:rFonts w:ascii="Candara" w:eastAsiaTheme="minorHAnsi" w:hAnsi="Candara" w:cstheme="majorBidi"/>
      <w:sz w:val="18"/>
      <w:szCs w:val="18"/>
    </w:rPr>
  </w:style>
  <w:style w:type="table" w:styleId="PlainTable4">
    <w:name w:val="Plain Table 4"/>
    <w:basedOn w:val="TableNormal"/>
    <w:uiPriority w:val="44"/>
    <w:rsid w:val="009E0A6F"/>
    <w:rPr>
      <w:rFonts w:asciiTheme="minorHAnsi" w:eastAsia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9E0A6F"/>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2">
    <w:name w:val="List Table 2"/>
    <w:basedOn w:val="TableNormal"/>
    <w:uiPriority w:val="47"/>
    <w:rsid w:val="009E0A6F"/>
    <w:rPr>
      <w:rFonts w:asciiTheme="minorHAnsi" w:eastAsiaTheme="minorHAnsi" w:hAnsiTheme="minorHAnsi" w:cstheme="minorBid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4C1C97"/>
    <w:rPr>
      <w:rFonts w:asciiTheme="minorHAnsi" w:eastAsiaTheme="minorHAnsi" w:hAnsiTheme="minorHAnsi" w:cstheme="minorBidi"/>
      <w:kern w:val="2"/>
      <w:sz w:val="22"/>
      <w:szCs w:val="22"/>
      <w:lang w:val="en-MY"/>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verflow-hidden">
    <w:name w:val="overflow-hidden"/>
    <w:basedOn w:val="DefaultParagraphFont"/>
    <w:rsid w:val="00B57EA1"/>
  </w:style>
  <w:style w:type="paragraph" w:customStyle="1" w:styleId="ReferenceHead">
    <w:name w:val="Reference Head"/>
    <w:basedOn w:val="Heading1"/>
    <w:rsid w:val="0053225C"/>
    <w:pPr>
      <w:keepLines w:val="0"/>
      <w:autoSpaceDE w:val="0"/>
      <w:autoSpaceDN w:val="0"/>
      <w:spacing w:before="240" w:after="120"/>
      <w:ind w:firstLine="0"/>
      <w:jc w:val="center"/>
    </w:pPr>
    <w:rPr>
      <w:rFonts w:ascii="Times New Roman" w:eastAsia="Times New Roman" w:hAnsi="Times New Roman" w:cs="Times New Roman"/>
      <w:bCs w:val="0"/>
      <w:caps/>
      <w:color w:val="auto"/>
      <w:kern w:val="28"/>
      <w:sz w:val="22"/>
      <w:szCs w:val="20"/>
      <w:lang w:bidi="ar-SA"/>
    </w:rPr>
  </w:style>
  <w:style w:type="paragraph" w:customStyle="1" w:styleId="textbox">
    <w:name w:val="textbox"/>
    <w:basedOn w:val="Normal"/>
    <w:rsid w:val="0053225C"/>
    <w:pPr>
      <w:spacing w:before="100" w:beforeAutospacing="1" w:after="100" w:afterAutospacing="1" w:line="480" w:lineRule="auto"/>
      <w:ind w:firstLine="360"/>
      <w:jc w:val="both"/>
    </w:pPr>
    <w:rPr>
      <w:rFonts w:ascii="Times New Roman" w:eastAsia="Times New Roman" w:hAnsi="Times New Roman" w:cs="Times New Roman"/>
      <w:szCs w:val="24"/>
      <w:lang w:val="en-MY" w:eastAsia="en-MY"/>
    </w:rPr>
  </w:style>
  <w:style w:type="paragraph" w:customStyle="1" w:styleId="JICT-TableHeading">
    <w:name w:val="JICT-Table Heading"/>
    <w:basedOn w:val="Normal"/>
    <w:link w:val="JICT-TableHeadingChar"/>
    <w:qFormat/>
    <w:rsid w:val="0053225C"/>
    <w:pPr>
      <w:spacing w:before="240" w:after="0" w:line="480" w:lineRule="auto"/>
    </w:pPr>
    <w:rPr>
      <w:rFonts w:ascii="Times New Roman" w:eastAsia="Times New Roman" w:hAnsi="Times New Roman" w:cs="Times New Roman"/>
      <w:b/>
      <w:color w:val="000000"/>
      <w:szCs w:val="24"/>
      <w:lang w:val="en-GB"/>
    </w:rPr>
  </w:style>
  <w:style w:type="paragraph" w:customStyle="1" w:styleId="JICTTableCaption">
    <w:name w:val="JICT Table Caption"/>
    <w:basedOn w:val="Normal"/>
    <w:link w:val="JICTTableCaptionChar"/>
    <w:qFormat/>
    <w:rsid w:val="0053225C"/>
    <w:pPr>
      <w:spacing w:after="0" w:line="480" w:lineRule="auto"/>
    </w:pPr>
    <w:rPr>
      <w:rFonts w:ascii="Times New Roman" w:eastAsia="Times New Roman" w:hAnsi="Times New Roman" w:cs="Times New Roman"/>
      <w:szCs w:val="24"/>
      <w:lang w:val="en-GB"/>
    </w:rPr>
  </w:style>
  <w:style w:type="character" w:customStyle="1" w:styleId="JICT-TableHeadingChar">
    <w:name w:val="JICT-Table Heading Char"/>
    <w:link w:val="JICT-TableHeading"/>
    <w:rsid w:val="0053225C"/>
    <w:rPr>
      <w:rFonts w:eastAsia="Times New Roman"/>
      <w:b/>
      <w:color w:val="000000"/>
      <w:sz w:val="22"/>
      <w:szCs w:val="24"/>
      <w:lang w:val="en-GB"/>
    </w:rPr>
  </w:style>
  <w:style w:type="paragraph" w:customStyle="1" w:styleId="JICT-FigureHeading">
    <w:name w:val="JICT-Figure Heading"/>
    <w:basedOn w:val="Normal"/>
    <w:link w:val="JICT-FigureHeadingChar"/>
    <w:qFormat/>
    <w:rsid w:val="0053225C"/>
    <w:pPr>
      <w:spacing w:before="120" w:after="240" w:line="480" w:lineRule="auto"/>
      <w:ind w:firstLine="360"/>
    </w:pPr>
    <w:rPr>
      <w:rFonts w:ascii="Times New Roman" w:eastAsia="Calibri" w:hAnsi="Times New Roman" w:cs="Times New Roman"/>
      <w:bCs/>
      <w:i/>
      <w:iCs/>
      <w:lang w:val="en-GB"/>
    </w:rPr>
  </w:style>
  <w:style w:type="character" w:customStyle="1" w:styleId="JICTTableCaptionChar">
    <w:name w:val="JICT Table Caption Char"/>
    <w:link w:val="JICTTableCaption"/>
    <w:rsid w:val="0053225C"/>
    <w:rPr>
      <w:rFonts w:eastAsia="Times New Roman"/>
      <w:sz w:val="22"/>
      <w:szCs w:val="24"/>
      <w:lang w:val="en-GB"/>
    </w:rPr>
  </w:style>
  <w:style w:type="paragraph" w:customStyle="1" w:styleId="JICT-FigureCaption">
    <w:name w:val="JICT-Figure Caption"/>
    <w:basedOn w:val="Normal"/>
    <w:link w:val="JICT-FigureCaptionChar"/>
    <w:qFormat/>
    <w:rsid w:val="0053225C"/>
    <w:pPr>
      <w:spacing w:before="120" w:after="240" w:line="480" w:lineRule="auto"/>
      <w:ind w:firstLine="360"/>
      <w:jc w:val="both"/>
    </w:pPr>
    <w:rPr>
      <w:rFonts w:ascii="Times New Roman" w:eastAsia="Calibri" w:hAnsi="Times New Roman" w:cs="Times New Roman"/>
      <w:bCs/>
      <w:i/>
      <w:iCs/>
      <w:lang w:val="en-GB"/>
    </w:rPr>
  </w:style>
  <w:style w:type="character" w:customStyle="1" w:styleId="JICT-FigureHeadingChar">
    <w:name w:val="JICT-Figure Heading Char"/>
    <w:link w:val="JICT-FigureHeading"/>
    <w:rsid w:val="0053225C"/>
    <w:rPr>
      <w:rFonts w:eastAsia="Calibri"/>
      <w:bCs/>
      <w:i/>
      <w:iCs/>
      <w:sz w:val="22"/>
      <w:szCs w:val="22"/>
      <w:lang w:val="en-GB"/>
    </w:rPr>
  </w:style>
  <w:style w:type="character" w:customStyle="1" w:styleId="JICT-FigureCaptionChar">
    <w:name w:val="JICT-Figure Caption Char"/>
    <w:link w:val="JICT-FigureCaption"/>
    <w:rsid w:val="0053225C"/>
    <w:rPr>
      <w:rFonts w:eastAsia="Calibri"/>
      <w:bCs/>
      <w:i/>
      <w:iCs/>
      <w:sz w:val="22"/>
      <w:szCs w:val="22"/>
      <w:lang w:val="en-GB"/>
    </w:rPr>
  </w:style>
  <w:style w:type="paragraph" w:customStyle="1" w:styleId="JICT-References">
    <w:name w:val="JICT-References"/>
    <w:basedOn w:val="NormalWeb"/>
    <w:link w:val="JICT-ReferencesChar"/>
    <w:qFormat/>
    <w:rsid w:val="0053225C"/>
    <w:pPr>
      <w:shd w:val="clear" w:color="auto" w:fill="FFFFFF"/>
      <w:spacing w:before="0" w:beforeAutospacing="0" w:after="120" w:afterAutospacing="0" w:line="480" w:lineRule="auto"/>
      <w:ind w:left="432" w:hanging="432"/>
      <w:jc w:val="both"/>
    </w:pPr>
    <w:rPr>
      <w:rFonts w:cs="Arial"/>
      <w:color w:val="333333"/>
      <w:sz w:val="22"/>
      <w:szCs w:val="20"/>
      <w:shd w:val="clear" w:color="auto" w:fill="FFFFFF"/>
      <w:lang w:val="en-US" w:eastAsia="en-US"/>
    </w:rPr>
  </w:style>
  <w:style w:type="character" w:customStyle="1" w:styleId="JICT-ReferencesChar">
    <w:name w:val="JICT-References Char"/>
    <w:link w:val="JICT-References"/>
    <w:rsid w:val="0053225C"/>
    <w:rPr>
      <w:rFonts w:eastAsia="Times New Roman" w:cs="Arial"/>
      <w:color w:val="333333"/>
      <w:sz w:val="22"/>
      <w:shd w:val="clear" w:color="auto" w:fill="FFFFFF"/>
    </w:rPr>
  </w:style>
  <w:style w:type="table" w:styleId="ListTable3-Accent1">
    <w:name w:val="List Table 3 Accent 1"/>
    <w:basedOn w:val="TableNormal"/>
    <w:uiPriority w:val="48"/>
    <w:rsid w:val="0000394C"/>
    <w:rPr>
      <w:rFonts w:asciiTheme="minorHAnsi" w:eastAsiaTheme="minorHAnsi" w:hAnsiTheme="minorHAnsi" w:cstheme="minorBidi"/>
      <w:sz w:val="22"/>
      <w:szCs w:val="22"/>
      <w:lang w:val="en-MY"/>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
    <w:name w:val="List Table 3"/>
    <w:basedOn w:val="TableNormal"/>
    <w:uiPriority w:val="48"/>
    <w:rsid w:val="0000394C"/>
    <w:rPr>
      <w:rFonts w:asciiTheme="minorHAnsi" w:eastAsiaTheme="minorHAnsi" w:hAnsiTheme="minorHAnsi" w:cstheme="minorBidi"/>
      <w:sz w:val="24"/>
      <w:szCs w:val="24"/>
      <w:lang w:val="en-MY"/>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6Colorful">
    <w:name w:val="Grid Table 6 Colorful"/>
    <w:basedOn w:val="TableNormal"/>
    <w:uiPriority w:val="51"/>
    <w:rsid w:val="0000394C"/>
    <w:rPr>
      <w:rFonts w:asciiTheme="minorHAnsi" w:eastAsiaTheme="minorHAnsi" w:hAnsiTheme="minorHAnsi" w:cstheme="minorBidi"/>
      <w:color w:val="000000" w:themeColor="text1"/>
      <w:sz w:val="24"/>
      <w:szCs w:val="24"/>
      <w:lang w:val="en-MY"/>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UTEMPARAGRAPH">
    <w:name w:val="UTEM PARAGRAPH"/>
    <w:basedOn w:val="Normal"/>
    <w:autoRedefine/>
    <w:uiPriority w:val="4"/>
    <w:qFormat/>
    <w:rsid w:val="0000394C"/>
    <w:pPr>
      <w:spacing w:after="0" w:line="240" w:lineRule="auto"/>
      <w:jc w:val="both"/>
    </w:pPr>
    <w:rPr>
      <w:rFonts w:ascii="Calibri" w:eastAsiaTheme="minorHAnsi" w:hAnsi="Calibri" w:cs="Calibri"/>
      <w:noProof/>
      <w:sz w:val="24"/>
      <w:szCs w:val="24"/>
      <w:lang w:val="ms-MY"/>
    </w:rPr>
  </w:style>
  <w:style w:type="paragraph" w:customStyle="1" w:styleId="Parautem">
    <w:name w:val="Para utem"/>
    <w:basedOn w:val="Normal"/>
    <w:rsid w:val="0000394C"/>
    <w:pPr>
      <w:spacing w:after="0" w:line="480" w:lineRule="auto"/>
      <w:ind w:firstLine="851"/>
      <w:jc w:val="both"/>
    </w:pPr>
    <w:rPr>
      <w:rFonts w:ascii="Times New Roman" w:eastAsiaTheme="minorHAnsi" w:hAnsi="Times New Roman" w:cs="Times New Roman"/>
      <w:sz w:val="24"/>
      <w:szCs w:val="24"/>
    </w:rPr>
  </w:style>
  <w:style w:type="paragraph" w:customStyle="1" w:styleId="COVERPAGE0">
    <w:name w:val="COVER PAGE"/>
    <w:basedOn w:val="Normal"/>
    <w:uiPriority w:val="1"/>
    <w:qFormat/>
    <w:rsid w:val="00950A3C"/>
    <w:pPr>
      <w:spacing w:after="0" w:line="240" w:lineRule="auto"/>
      <w:jc w:val="center"/>
    </w:pPr>
    <w:rPr>
      <w:rFonts w:ascii="Arial Narrow" w:eastAsiaTheme="minorHAnsi" w:hAnsi="Arial Narrow"/>
      <w:b/>
      <w:sz w:val="36"/>
    </w:rPr>
  </w:style>
  <w:style w:type="paragraph" w:customStyle="1" w:styleId="TITLEPAGE0">
    <w:name w:val="TITLE PAGE"/>
    <w:basedOn w:val="COVERPAGE0"/>
    <w:uiPriority w:val="1"/>
    <w:qFormat/>
    <w:rsid w:val="00950A3C"/>
    <w:rPr>
      <w:sz w:val="28"/>
    </w:rPr>
  </w:style>
  <w:style w:type="paragraph" w:customStyle="1" w:styleId="PREFACETITLE">
    <w:name w:val="PREFACE TITLE"/>
    <w:basedOn w:val="Normal"/>
    <w:next w:val="Normal"/>
    <w:autoRedefine/>
    <w:uiPriority w:val="2"/>
    <w:qFormat/>
    <w:rsid w:val="00950A3C"/>
    <w:pPr>
      <w:pageBreakBefore/>
      <w:widowControl w:val="0"/>
      <w:spacing w:after="960" w:line="240" w:lineRule="auto"/>
      <w:jc w:val="center"/>
      <w:outlineLvl w:val="2"/>
    </w:pPr>
    <w:rPr>
      <w:rFonts w:ascii="Times New Roman" w:eastAsiaTheme="minorHAnsi" w:hAnsi="Times New Roman"/>
      <w:b/>
      <w:sz w:val="28"/>
    </w:rPr>
  </w:style>
  <w:style w:type="paragraph" w:customStyle="1" w:styleId="DecPage">
    <w:name w:val="Dec Page"/>
    <w:basedOn w:val="Normal"/>
    <w:uiPriority w:val="4"/>
    <w:qFormat/>
    <w:rsid w:val="00950A3C"/>
    <w:pPr>
      <w:spacing w:after="0" w:line="240" w:lineRule="auto"/>
      <w:jc w:val="both"/>
    </w:pPr>
    <w:rPr>
      <w:rFonts w:ascii="Times New Roman" w:eastAsiaTheme="minorHAnsi" w:hAnsi="Times New Roman"/>
      <w:sz w:val="24"/>
    </w:rPr>
  </w:style>
  <w:style w:type="character" w:customStyle="1" w:styleId="contribdegrees">
    <w:name w:val="contribdegrees"/>
    <w:basedOn w:val="DefaultParagraphFont"/>
    <w:rsid w:val="00E45B5C"/>
  </w:style>
  <w:style w:type="paragraph" w:customStyle="1" w:styleId="SSEAUTHORS">
    <w:name w:val="SSE AUTHORS"/>
    <w:basedOn w:val="Normal"/>
    <w:link w:val="SSEAUTHORSChar"/>
    <w:qFormat/>
    <w:rsid w:val="00E45B5C"/>
    <w:pPr>
      <w:spacing w:after="0" w:line="240" w:lineRule="auto"/>
      <w:jc w:val="center"/>
    </w:pPr>
    <w:rPr>
      <w:rFonts w:ascii="Calibri" w:eastAsia="SimSun" w:hAnsi="Calibri" w:cs="Times New Roman"/>
      <w:b/>
      <w:szCs w:val="24"/>
    </w:rPr>
  </w:style>
  <w:style w:type="character" w:customStyle="1" w:styleId="SSEAUTHORSChar">
    <w:name w:val="SSE AUTHORS Char"/>
    <w:basedOn w:val="DefaultParagraphFont"/>
    <w:link w:val="SSEAUTHORS"/>
    <w:rsid w:val="00E45B5C"/>
    <w:rPr>
      <w:rFonts w:ascii="Calibri" w:hAnsi="Calibri"/>
      <w:b/>
      <w:sz w:val="22"/>
      <w:szCs w:val="24"/>
    </w:rPr>
  </w:style>
  <w:style w:type="paragraph" w:customStyle="1" w:styleId="SSEAFFILIATION">
    <w:name w:val="SSE AFFILIATION"/>
    <w:basedOn w:val="Normal"/>
    <w:link w:val="SSEAFFILIATIONChar"/>
    <w:qFormat/>
    <w:rsid w:val="00E45B5C"/>
    <w:pPr>
      <w:spacing w:after="0" w:line="240" w:lineRule="auto"/>
      <w:jc w:val="center"/>
    </w:pPr>
    <w:rPr>
      <w:rFonts w:ascii="Calibri" w:eastAsia="SimSun" w:hAnsi="Calibri" w:cs="Times New Roman"/>
      <w:i/>
      <w:szCs w:val="24"/>
    </w:rPr>
  </w:style>
  <w:style w:type="character" w:customStyle="1" w:styleId="SSEAFFILIATIONChar">
    <w:name w:val="SSE AFFILIATION Char"/>
    <w:basedOn w:val="DefaultParagraphFont"/>
    <w:link w:val="SSEAFFILIATION"/>
    <w:rsid w:val="00E45B5C"/>
    <w:rPr>
      <w:rFonts w:ascii="Calibri" w:hAnsi="Calibri"/>
      <w:i/>
      <w:sz w:val="22"/>
      <w:szCs w:val="24"/>
    </w:rPr>
  </w:style>
  <w:style w:type="paragraph" w:customStyle="1" w:styleId="COVERPAGESTUDENTNAME">
    <w:name w:val="COVER PAGE STUDENT NAME"/>
    <w:basedOn w:val="Normal"/>
    <w:uiPriority w:val="4"/>
    <w:qFormat/>
    <w:rsid w:val="005B3ED7"/>
    <w:pPr>
      <w:spacing w:after="0" w:line="240" w:lineRule="auto"/>
      <w:jc w:val="center"/>
    </w:pPr>
    <w:rPr>
      <w:rFonts w:ascii="Times New Roman" w:eastAsiaTheme="minorHAnsi" w:hAnsi="Times New Roman"/>
      <w:kern w:val="2"/>
      <w:sz w:val="24"/>
      <w:lang w:val="en-MY"/>
      <w14:ligatures w14:val="standardContextual"/>
    </w:rPr>
  </w:style>
  <w:style w:type="paragraph" w:customStyle="1" w:styleId="Abstract15line">
    <w:name w:val="Abstract 1.5 line"/>
    <w:basedOn w:val="Normal"/>
    <w:next w:val="Normal"/>
    <w:link w:val="Abstract15lineChar"/>
    <w:uiPriority w:val="6"/>
    <w:qFormat/>
    <w:rsid w:val="005B3ED7"/>
    <w:pPr>
      <w:spacing w:after="0" w:line="360" w:lineRule="auto"/>
      <w:ind w:firstLine="720"/>
      <w:jc w:val="both"/>
    </w:pPr>
    <w:rPr>
      <w:rFonts w:ascii="Times New Roman" w:eastAsiaTheme="minorHAnsi" w:hAnsi="Times New Roman"/>
      <w:kern w:val="2"/>
      <w:sz w:val="24"/>
      <w:lang w:val="en-MY"/>
      <w14:ligatures w14:val="standardContextual"/>
    </w:rPr>
  </w:style>
  <w:style w:type="character" w:customStyle="1" w:styleId="Abstract15lineChar">
    <w:name w:val="Abstract 1.5 line Char"/>
    <w:basedOn w:val="DefaultParagraphFont"/>
    <w:link w:val="Abstract15line"/>
    <w:uiPriority w:val="6"/>
    <w:rsid w:val="005B3ED7"/>
    <w:rPr>
      <w:rFonts w:eastAsiaTheme="minorHAnsi" w:cstheme="minorBidi"/>
      <w:kern w:val="2"/>
      <w:sz w:val="24"/>
      <w:szCs w:val="22"/>
      <w:lang w:val="en-MY"/>
      <w14:ligatures w14:val="standardContextual"/>
    </w:rPr>
  </w:style>
  <w:style w:type="paragraph" w:customStyle="1" w:styleId="MDPI14history">
    <w:name w:val="MDPI_1.4_history"/>
    <w:basedOn w:val="Normal"/>
    <w:next w:val="Normal"/>
    <w:qFormat/>
    <w:rsid w:val="00F40A59"/>
    <w:pPr>
      <w:adjustRightInd w:val="0"/>
      <w:snapToGrid w:val="0"/>
      <w:spacing w:after="0" w:line="240" w:lineRule="atLeast"/>
      <w:ind w:right="113"/>
    </w:pPr>
    <w:rPr>
      <w:rFonts w:ascii="Palatino Linotype" w:eastAsia="Times New Roman" w:hAnsi="Palatino Linotype" w:cs="Times New Roman"/>
      <w:color w:val="000000"/>
      <w:sz w:val="14"/>
      <w:szCs w:val="20"/>
      <w:lang w:eastAsia="de-DE" w:bidi="en-US"/>
    </w:rPr>
  </w:style>
  <w:style w:type="paragraph" w:customStyle="1" w:styleId="MDPI16affiliation">
    <w:name w:val="MDPI_1.6_affiliation"/>
    <w:qFormat/>
    <w:rsid w:val="00F40A59"/>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61citation">
    <w:name w:val="MDPI_6.1_citation"/>
    <w:qFormat/>
    <w:rsid w:val="00F40A59"/>
    <w:pPr>
      <w:adjustRightInd w:val="0"/>
      <w:snapToGrid w:val="0"/>
      <w:spacing w:before="120" w:after="120" w:line="240" w:lineRule="atLeast"/>
      <w:ind w:right="113"/>
    </w:pPr>
    <w:rPr>
      <w:rFonts w:ascii="Palatino Linotype" w:hAnsi="Palatino Linotype" w:cs="Cordia New"/>
      <w:sz w:val="14"/>
      <w:szCs w:val="22"/>
      <w:lang w:eastAsia="zh-CN"/>
    </w:rPr>
  </w:style>
  <w:style w:type="paragraph" w:customStyle="1" w:styleId="MDPI15academiceditor">
    <w:name w:val="MDPI_1.5_academic_editor"/>
    <w:qFormat/>
    <w:rsid w:val="00F40A5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72copyright">
    <w:name w:val="MDPI_7.2_copyright"/>
    <w:qFormat/>
    <w:rsid w:val="00F40A59"/>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paragraph" w:customStyle="1" w:styleId="MDPI11articletype">
    <w:name w:val="MDPI_1.1_article_type"/>
    <w:next w:val="Normal"/>
    <w:qFormat/>
    <w:rsid w:val="00F40A59"/>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F40A59"/>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7abstract">
    <w:name w:val="MDPI_1.7_abstract"/>
    <w:next w:val="Normal"/>
    <w:qFormat/>
    <w:rsid w:val="00F40A59"/>
    <w:pPr>
      <w:adjustRightInd w:val="0"/>
      <w:snapToGrid w:val="0"/>
      <w:spacing w:before="24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F40A59"/>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F40A59"/>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paragraph" w:customStyle="1" w:styleId="Mdeck2authorcorrespondence">
    <w:name w:val="M_deck_2_author_correspondence"/>
    <w:qFormat/>
    <w:rsid w:val="00F40A59"/>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sz w:val="18"/>
      <w:lang w:eastAsia="de-DE" w:bidi="en-US"/>
    </w:rPr>
  </w:style>
  <w:style w:type="paragraph" w:customStyle="1" w:styleId="MDPI32textnoindent">
    <w:name w:val="MDPI_3.2_text_no_indent"/>
    <w:basedOn w:val="MDPI31text"/>
    <w:qFormat/>
    <w:rsid w:val="00F40A59"/>
    <w:pPr>
      <w:spacing w:line="280" w:lineRule="atLeast"/>
      <w:ind w:left="2608" w:firstLine="0"/>
    </w:pPr>
  </w:style>
  <w:style w:type="paragraph" w:customStyle="1" w:styleId="MDPI33textspaceafter">
    <w:name w:val="MDPI_3.3_text_space_after"/>
    <w:qFormat/>
    <w:rsid w:val="00F40A59"/>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F40A59"/>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F40A59"/>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F40A59"/>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F40A59"/>
    <w:pPr>
      <w:numPr>
        <w:numId w:val="40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F40A59"/>
    <w:pPr>
      <w:numPr>
        <w:numId w:val="403"/>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F40A59"/>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F40A59"/>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3tablefooter">
    <w:name w:val="MDPI_4.3_table_footer"/>
    <w:next w:val="MDPI31text"/>
    <w:qFormat/>
    <w:rsid w:val="00F40A59"/>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82theorem">
    <w:name w:val="MDPI_8.2_theorem"/>
    <w:qFormat/>
    <w:rsid w:val="00F40A59"/>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F40A59"/>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F40A59"/>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81references">
    <w:name w:val="MDPI_8.1_references"/>
    <w:qFormat/>
    <w:rsid w:val="00F40A59"/>
    <w:pPr>
      <w:numPr>
        <w:numId w:val="402"/>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customStyle="1" w:styleId="MDPI62backmatter">
    <w:name w:val="MDPI_6.2_back_matter"/>
    <w:qFormat/>
    <w:rsid w:val="00F40A59"/>
    <w:pPr>
      <w:adjustRightInd w:val="0"/>
      <w:snapToGrid w:val="0"/>
      <w:spacing w:after="120" w:line="280" w:lineRule="atLeast"/>
      <w:ind w:left="2608"/>
      <w:jc w:val="both"/>
    </w:pPr>
    <w:rPr>
      <w:rFonts w:ascii="Palatino Linotype" w:eastAsia="Times New Roman" w:hAnsi="Palatino Linotype"/>
      <w:snapToGrid w:val="0"/>
      <w:color w:val="000000"/>
      <w:sz w:val="18"/>
      <w:lang w:bidi="en-US"/>
    </w:rPr>
  </w:style>
  <w:style w:type="paragraph" w:customStyle="1" w:styleId="MDPI63notes">
    <w:name w:val="MDPI_6.3_notes"/>
    <w:qFormat/>
    <w:rsid w:val="00F40A59"/>
    <w:pPr>
      <w:adjustRightInd w:val="0"/>
      <w:snapToGrid w:val="0"/>
      <w:spacing w:before="240" w:line="280" w:lineRule="atLeast"/>
      <w:jc w:val="both"/>
    </w:pPr>
    <w:rPr>
      <w:rFonts w:ascii="Palatino Linotype" w:hAnsi="Palatino Linotype"/>
      <w:snapToGrid w:val="0"/>
      <w:color w:val="000000"/>
      <w:sz w:val="18"/>
      <w:lang w:bidi="en-US"/>
    </w:rPr>
  </w:style>
  <w:style w:type="paragraph" w:customStyle="1" w:styleId="MDPI411onetablecaption">
    <w:name w:val="MDPI_4.1.1_one_table_caption"/>
    <w:qFormat/>
    <w:rsid w:val="00F40A59"/>
    <w:pPr>
      <w:adjustRightInd w:val="0"/>
      <w:snapToGrid w:val="0"/>
      <w:spacing w:before="240" w:after="120" w:line="280" w:lineRule="atLeast"/>
      <w:jc w:val="center"/>
    </w:pPr>
    <w:rPr>
      <w:rFonts w:ascii="Palatino Linotype" w:hAnsi="Palatino Linotype" w:cs="Cordia New"/>
      <w:noProof/>
      <w:color w:val="000000"/>
      <w:sz w:val="18"/>
      <w:szCs w:val="22"/>
      <w:lang w:eastAsia="zh-CN" w:bidi="en-US"/>
    </w:rPr>
  </w:style>
  <w:style w:type="paragraph" w:customStyle="1" w:styleId="MDPI511onefigurecaption">
    <w:name w:val="MDPI_5.1.1_one_figure_caption"/>
    <w:qFormat/>
    <w:rsid w:val="00F40A59"/>
    <w:pPr>
      <w:adjustRightInd w:val="0"/>
      <w:snapToGrid w:val="0"/>
      <w:spacing w:before="240" w:after="120" w:line="280" w:lineRule="atLeast"/>
      <w:jc w:val="center"/>
    </w:pPr>
    <w:rPr>
      <w:rFonts w:ascii="Palatino Linotype" w:hAnsi="Palatino Linotype"/>
      <w:noProof/>
      <w:color w:val="000000"/>
      <w:sz w:val="18"/>
      <w:lang w:eastAsia="zh-CN" w:bidi="en-US"/>
    </w:rPr>
  </w:style>
  <w:style w:type="paragraph" w:customStyle="1" w:styleId="MsoFootnoteText0">
    <w:name w:val="MsoFootnoteText"/>
    <w:basedOn w:val="NormalWeb"/>
    <w:qFormat/>
    <w:rsid w:val="00F40A59"/>
    <w:pPr>
      <w:spacing w:before="0" w:beforeAutospacing="0" w:after="0" w:afterAutospacing="0" w:line="280" w:lineRule="atLeast"/>
      <w:jc w:val="both"/>
    </w:pPr>
    <w:rPr>
      <w:rFonts w:eastAsia="SimSun"/>
      <w:noProof/>
      <w:color w:val="000000"/>
      <w:sz w:val="20"/>
      <w:lang w:val="en-US" w:eastAsia="zh-CN"/>
    </w:rPr>
  </w:style>
  <w:style w:type="paragraph" w:customStyle="1" w:styleId="MDPI71footnotes">
    <w:name w:val="MDPI_7.1_footnotes"/>
    <w:qFormat/>
    <w:rsid w:val="00F40A59"/>
    <w:pPr>
      <w:numPr>
        <w:numId w:val="396"/>
      </w:numPr>
      <w:adjustRightInd w:val="0"/>
      <w:snapToGrid w:val="0"/>
      <w:spacing w:line="280" w:lineRule="atLeast"/>
    </w:pPr>
    <w:rPr>
      <w:rFonts w:ascii="Palatino Linotype" w:eastAsiaTheme="minorEastAsia" w:hAnsi="Palatino Linotype"/>
      <w:noProof/>
      <w:color w:val="000000"/>
      <w:sz w:val="18"/>
      <w:lang w:eastAsia="zh-CN"/>
    </w:rPr>
  </w:style>
  <w:style w:type="table" w:styleId="GridTable1Light-Accent5">
    <w:name w:val="Grid Table 1 Light Accent 5"/>
    <w:basedOn w:val="TableNormal"/>
    <w:uiPriority w:val="46"/>
    <w:rsid w:val="00B23396"/>
    <w:rPr>
      <w:rFonts w:ascii="Calibri" w:eastAsia="Calibri" w:hAnsi="Calibri" w:cs="Calibri"/>
      <w:sz w:val="22"/>
      <w:szCs w:val="22"/>
      <w:lang w:val="en-GB" w:eastAsia="en-MY"/>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23396"/>
    <w:rPr>
      <w:rFonts w:ascii="Calibri" w:eastAsia="Calibri" w:hAnsi="Calibri" w:cs="Calibri"/>
      <w:sz w:val="22"/>
      <w:szCs w:val="22"/>
      <w:lang w:val="en-GB" w:eastAsia="en-MY"/>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B23396"/>
    <w:rPr>
      <w:rFonts w:ascii="Calibri" w:eastAsia="Calibri" w:hAnsi="Calibri" w:cs="Calibri"/>
      <w:sz w:val="22"/>
      <w:szCs w:val="22"/>
      <w:lang w:val="en-GB" w:eastAsia="en-MY"/>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B23396"/>
    <w:rPr>
      <w:rFonts w:ascii="Calibri" w:eastAsia="Calibri" w:hAnsi="Calibri" w:cs="Calibri"/>
      <w:sz w:val="22"/>
      <w:szCs w:val="22"/>
      <w:lang w:val="en-GB" w:eastAsia="en-MY"/>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xtsmaller">
    <w:name w:val="txtsmaller"/>
    <w:basedOn w:val="DefaultParagraphFont"/>
    <w:rsid w:val="00B23396"/>
  </w:style>
  <w:style w:type="character" w:customStyle="1" w:styleId="txtsmallerbold">
    <w:name w:val="txtsmallerbold"/>
    <w:basedOn w:val="DefaultParagraphFont"/>
    <w:rsid w:val="00B23396"/>
  </w:style>
  <w:style w:type="paragraph" w:customStyle="1" w:styleId="divreferencedContentp">
    <w:name w:val="div_referencedContent_p"/>
    <w:basedOn w:val="Normal"/>
    <w:rsid w:val="00B23396"/>
    <w:pPr>
      <w:pBdr>
        <w:left w:val="none" w:sz="0" w:space="10" w:color="auto"/>
      </w:pBdr>
      <w:spacing w:after="0" w:line="240" w:lineRule="auto"/>
    </w:pPr>
    <w:rPr>
      <w:rFonts w:ascii="Times New Roman" w:eastAsia="Times New Roman" w:hAnsi="Times New Roman" w:cs="Times New Roman"/>
      <w:sz w:val="24"/>
      <w:szCs w:val="24"/>
      <w:lang w:val="en-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NORBAHRIAH\Desktop\Pendrive\Analyse\Analyse%20From%20Atlas%20ti\Number%20of%20paper%20per%20yea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 No.</a:t>
            </a:r>
            <a:r>
              <a:rPr lang="en-US" baseline="0"/>
              <a:t> of Paper Per Year</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CodeDocumentTable!$B$1</c:f>
              <c:strCache>
                <c:ptCount val="1"/>
                <c:pt idx="0">
                  <c:v>○ 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CodeDocumentTable!$B$2:$B$36</c:f>
              <c:numCache>
                <c:formatCode>0</c:formatCode>
                <c:ptCount val="1"/>
                <c:pt idx="0">
                  <c:v>5</c:v>
                </c:pt>
              </c:numCache>
            </c:numRef>
          </c:val>
          <c:extLst>
            <c:ext xmlns:c16="http://schemas.microsoft.com/office/drawing/2014/chart" uri="{C3380CC4-5D6E-409C-BE32-E72D297353CC}">
              <c16:uniqueId val="{00000000-F25E-40D4-BDDB-9F71A14E2F29}"/>
            </c:ext>
          </c:extLst>
        </c:ser>
        <c:ser>
          <c:idx val="1"/>
          <c:order val="1"/>
          <c:tx>
            <c:strRef>
              <c:f>CodeDocumentTable!$C$1</c:f>
              <c:strCache>
                <c:ptCount val="1"/>
                <c:pt idx="0">
                  <c:v>○ 2019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CodeDocumentTable!$C$2:$C$36</c:f>
              <c:numCache>
                <c:formatCode>0</c:formatCode>
                <c:ptCount val="1"/>
                <c:pt idx="0">
                  <c:v>7</c:v>
                </c:pt>
              </c:numCache>
            </c:numRef>
          </c:val>
          <c:extLst>
            <c:ext xmlns:c16="http://schemas.microsoft.com/office/drawing/2014/chart" uri="{C3380CC4-5D6E-409C-BE32-E72D297353CC}">
              <c16:uniqueId val="{00000001-F25E-40D4-BDDB-9F71A14E2F29}"/>
            </c:ext>
          </c:extLst>
        </c:ser>
        <c:ser>
          <c:idx val="2"/>
          <c:order val="2"/>
          <c:tx>
            <c:strRef>
              <c:f>CodeDocumentTable!$D$1</c:f>
              <c:strCache>
                <c:ptCount val="1"/>
                <c:pt idx="0">
                  <c:v>○ 2020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CodeDocumentTable!$D$2:$D$36</c:f>
              <c:numCache>
                <c:formatCode>0</c:formatCode>
                <c:ptCount val="1"/>
                <c:pt idx="0">
                  <c:v>7</c:v>
                </c:pt>
              </c:numCache>
            </c:numRef>
          </c:val>
          <c:extLst>
            <c:ext xmlns:c16="http://schemas.microsoft.com/office/drawing/2014/chart" uri="{C3380CC4-5D6E-409C-BE32-E72D297353CC}">
              <c16:uniqueId val="{00000002-F25E-40D4-BDDB-9F71A14E2F29}"/>
            </c:ext>
          </c:extLst>
        </c:ser>
        <c:ser>
          <c:idx val="3"/>
          <c:order val="3"/>
          <c:tx>
            <c:strRef>
              <c:f>CodeDocumentTable!$E$1</c:f>
              <c:strCache>
                <c:ptCount val="1"/>
                <c:pt idx="0">
                  <c:v>○ 2021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CodeDocumentTable!$E$2:$E$36</c:f>
              <c:numCache>
                <c:formatCode>0</c:formatCode>
                <c:ptCount val="1"/>
                <c:pt idx="0">
                  <c:v>5</c:v>
                </c:pt>
              </c:numCache>
            </c:numRef>
          </c:val>
          <c:extLst>
            <c:ext xmlns:c16="http://schemas.microsoft.com/office/drawing/2014/chart" uri="{C3380CC4-5D6E-409C-BE32-E72D297353CC}">
              <c16:uniqueId val="{00000003-F25E-40D4-BDDB-9F71A14E2F29}"/>
            </c:ext>
          </c:extLst>
        </c:ser>
        <c:ser>
          <c:idx val="4"/>
          <c:order val="4"/>
          <c:tx>
            <c:strRef>
              <c:f>CodeDocumentTable!$F$1</c:f>
              <c:strCache>
                <c:ptCount val="1"/>
                <c:pt idx="0">
                  <c:v>○ 2022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CodeDocumentTable!$F$2:$F$36</c:f>
              <c:numCache>
                <c:formatCode>0</c:formatCode>
                <c:ptCount val="1"/>
                <c:pt idx="0">
                  <c:v>4</c:v>
                </c:pt>
              </c:numCache>
            </c:numRef>
          </c:val>
          <c:extLst>
            <c:ext xmlns:c16="http://schemas.microsoft.com/office/drawing/2014/chart" uri="{C3380CC4-5D6E-409C-BE32-E72D297353CC}">
              <c16:uniqueId val="{00000004-F25E-40D4-BDDB-9F71A14E2F29}"/>
            </c:ext>
          </c:extLst>
        </c:ser>
        <c:ser>
          <c:idx val="5"/>
          <c:order val="5"/>
          <c:tx>
            <c:strRef>
              <c:f>CodeDocumentTable!$G$1</c:f>
              <c:strCache>
                <c:ptCount val="1"/>
                <c:pt idx="0">
                  <c:v>○ 2023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CodeDocumentTable!$G$2:$G$36</c:f>
              <c:numCache>
                <c:formatCode>0</c:formatCode>
                <c:ptCount val="1"/>
                <c:pt idx="0">
                  <c:v>5</c:v>
                </c:pt>
              </c:numCache>
            </c:numRef>
          </c:val>
          <c:extLst>
            <c:ext xmlns:c16="http://schemas.microsoft.com/office/drawing/2014/chart" uri="{C3380CC4-5D6E-409C-BE32-E72D297353CC}">
              <c16:uniqueId val="{00000005-F25E-40D4-BDDB-9F71A14E2F29}"/>
            </c:ext>
          </c:extLst>
        </c:ser>
        <c:ser>
          <c:idx val="6"/>
          <c:order val="6"/>
          <c:tx>
            <c:strRef>
              <c:f>CodeDocumentTable!$H$1</c:f>
              <c:strCache>
                <c:ptCount val="1"/>
                <c:pt idx="0">
                  <c:v>○ 2024
</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CodeDocumentTable!$H$2:$H$36</c:f>
              <c:numCache>
                <c:formatCode>0</c:formatCode>
                <c:ptCount val="1"/>
                <c:pt idx="0">
                  <c:v>1</c:v>
                </c:pt>
              </c:numCache>
            </c:numRef>
          </c:val>
          <c:extLst>
            <c:ext xmlns:c16="http://schemas.microsoft.com/office/drawing/2014/chart" uri="{C3380CC4-5D6E-409C-BE32-E72D297353CC}">
              <c16:uniqueId val="{00000006-F25E-40D4-BDDB-9F71A14E2F29}"/>
            </c:ext>
          </c:extLst>
        </c:ser>
        <c:dLbls>
          <c:dLblPos val="inEnd"/>
          <c:showLegendKey val="0"/>
          <c:showVal val="1"/>
          <c:showCatName val="0"/>
          <c:showSerName val="0"/>
          <c:showPercent val="0"/>
          <c:showBubbleSize val="0"/>
        </c:dLbls>
        <c:gapWidth val="100"/>
        <c:overlap val="-24"/>
        <c:axId val="2063542591"/>
        <c:axId val="2063569951"/>
      </c:barChart>
      <c:catAx>
        <c:axId val="2063542591"/>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MY"/>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63569951"/>
        <c:crosses val="autoZero"/>
        <c:auto val="1"/>
        <c:lblAlgn val="ctr"/>
        <c:lblOffset val="100"/>
        <c:noMultiLvlLbl val="0"/>
      </c:catAx>
      <c:valAx>
        <c:axId val="2063569951"/>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MY"/>
                  <a:t>Number of Paper</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63542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LiS21</b:Tag>
    <b:SourceType>JournalArticle</b:SourceType>
    <b:Guid>{23D7B13B-234F-4EF8-8022-018F7666BECA}</b:Guid>
    <b:Title>Meta-analysis of consumers' willingness to pay for sustainable food products</b:Title>
    <b:Year>2021</b:Year>
    <b:Author>
      <b:Author>
        <b:NameList>
          <b:Person>
            <b:Last>Li</b:Last>
            <b:First>Shanshan</b:First>
          </b:Person>
          <b:Person>
            <b:Last>Kallas</b:Last>
            <b:First>Zein</b:First>
          </b:Person>
        </b:NameList>
      </b:Author>
    </b:Author>
    <b:JournalName>Appetite</b:JournalName>
    <b:Pages>105239</b:Pages>
    <b:Volume>163</b:Volume>
    <b:Issue>1</b:Issue>
    <b:YearAccessed>2024</b:YearAccessed>
    <b:DOI>10.1016/j.appet.2021.105239</b:DOI>
    <b:RefOrder>1</b:RefOrder>
  </b:Source>
  <b:Source>
    <b:Tag>PET84</b:Tag>
    <b:SourceType>JournalArticle</b:SourceType>
    <b:Guid>{00EDDF67-2D4C-4E6F-A833-40B23C70A3B2}</b:Guid>
    <b:Author>
      <b:Author>
        <b:NameList>
          <b:Person>
            <b:Last>Peter W. Hom</b:Last>
            <b:First>Rodger</b:First>
            <b:Middle>W. Griffeth, and C. Louise Sellaro</b:Middle>
          </b:Person>
        </b:NameList>
      </b:Author>
    </b:Author>
    <b:Title>The Validity of Mobley's (1977) Model of Employee Turnover</b:Title>
    <b:JournalName>ORGANIZATIONAL BEHAVIOR AND HUMAN PERFORMANCE</b:JournalName>
    <b:Year>1984</b:Year>
    <b:Pages>141-174</b:Pages>
    <b:RefOrder>1</b:RefOrder>
  </b:Source>
  <b:Source>
    <b:Tag>All13</b:Tag>
    <b:SourceType>JournalArticle</b:SourceType>
    <b:Guid>{364AECD8-4AE1-46E6-AD27-DF2052475194}</b:Guid>
    <b:Author>
      <b:Author>
        <b:NameList>
          <b:Person>
            <b:Last>Allen</b:Last>
            <b:First>David</b:First>
          </b:Person>
          <b:Person>
            <b:Last>Shanock</b:Last>
            <b:First>Linda</b:First>
          </b:Person>
        </b:NameList>
      </b:Author>
    </b:Author>
    <b:Title>Perceived organizational support and embeddedness as key mechanisms connecting socialization tactics to commitment and turnover among new employees</b:Title>
    <b:JournalName>Journal of Organizational Behavior 34(3)</b:JournalName>
    <b:Year>2013</b:Year>
    <b:RefOrder>2</b:RefOrder>
  </b:Source>
  <b:Source>
    <b:Tag>Sam12</b:Tag>
    <b:SourceType>JournalArticle</b:SourceType>
    <b:Guid>{830EBC6E-5D66-4207-BC36-BAB3E3F0B5A7}</b:Guid>
    <b:Title>The Role of Organizational Commitment in Mediating the Relationship between Job Satisfaction and Turnover Intention</b:Title>
    <b:JournalName>European Journal of Social Sciences</b:JournalName>
    <b:Year>2012</b:Year>
    <b:Pages>125-135</b:Pages>
    <b:Author>
      <b:Author>
        <b:NameList>
          <b:Person>
            <b:Last>Samad</b:Last>
            <b:First>Sarminah</b:First>
          </b:Person>
          <b:Person>
            <b:Last>Mohd Yusuf</b:Last>
            <b:Middle>Yasmin</b:Middle>
            <b:First>Salma</b:First>
          </b:Person>
        </b:NameList>
      </b:Author>
    </b:Author>
    <b:RefOrder>3</b:RefOrder>
  </b:Source>
  <b:Source>
    <b:Tag>AlH21</b:Tag>
    <b:SourceType>JournalArticle</b:SourceType>
    <b:Guid>{A4086268-3667-47C9-B0C0-C87375136B2B}</b:Guid>
    <b:Author>
      <b:Author>
        <b:NameList>
          <b:Person>
            <b:Last>Al-Hamdan</b:Last>
            <b:First>Zaid</b:First>
          </b:Person>
          <b:Person>
            <b:Last> Issa</b:Last>
            <b:Middle> Bani</b:Middle>
            <b:First>Haneen</b:First>
          </b:Person>
        </b:NameList>
      </b:Author>
    </b:Author>
    <b:Title>The role of organizational support and self-efficacy on work engagement among registered nurses in Jordan: A descriptive study</b:Title>
    <b:JournalName>Journal of Nursing Management</b:JournalName>
    <b:Year>2021</b:Year>
    <b:RefOrder>4</b:RefOrder>
  </b:Source>
  <b:Source>
    <b:Tag>Bri93</b:Tag>
    <b:SourceType>ConferenceProceedings</b:SourceType>
    <b:Guid>{C2147050-9F79-489D-B6D1-61D28CF2D8FF}</b:Guid>
    <b:Title>Validity and reliability in qualitative research</b:Title>
    <b:Year>1993</b:Year>
    <b:Pages>35-38</b:Pages>
    <b:Publisher>PubMed</b:Publisher>
    <b:Author>
      <b:Author>
        <b:NameList>
          <b:Person>
            <b:Last>Brink</b:Last>
            <b:First>H.</b:First>
            <b:Middle>I. L.</b:Middle>
          </b:Person>
        </b:NameList>
      </b:Author>
    </b:Author>
    <b:ConferenceName>SA  Society  of Nurse Researchers’ Workshop</b:ConferenceName>
    <b:RefOrder>5</b:RefOrder>
  </b:Source>
  <b:Source>
    <b:Tag>Thu20</b:Tag>
    <b:SourceType>JournalArticle</b:SourceType>
    <b:Guid>{DABFCDD2-11AF-4AB3-BAE9-C9E713466D8E}</b:Guid>
    <b:Title>Human Resource Development: Overview of the Performance Evaluation and Performance Appraisal viewpoints</b:Title>
    <b:JournalName>JournaL La Bisecoman</b:JournalName>
    <b:Year>2020</b:Year>
    <b:Pages>15-19</b:Pages>
    <b:Author>
      <b:Author>
        <b:NameList>
          <b:Person>
            <b:Last>Thuy</b:Last>
            <b:First>Navia</b:First>
          </b:Person>
          <b:Person>
            <b:Last>Trinh</b:Last>
            <b:First>Elly</b:First>
          </b:Person>
        </b:NameList>
      </b:Author>
    </b:Author>
    <b:RefOrder>6</b:RefOrder>
  </b:Source>
  <b:Source>
    <b:Tag>Swa08</b:Tag>
    <b:SourceType>Book</b:SourceType>
    <b:Guid>{08D69124-11DB-42EC-9F22-0B60EF3011F9}</b:Guid>
    <b:Title>Foundations of Human Resources Development</b:Title>
    <b:Year>2008</b:Year>
    <b:City>San Francisco</b:City>
    <b:Publisher>Berrett-Koehler Publishers, Inc</b:Publisher>
    <b:Author>
      <b:Author>
        <b:NameList>
          <b:Person>
            <b:Last>Swanson</b:Last>
            <b:Middle>A</b:Middle>
            <b:First>Richard</b:First>
          </b:Person>
          <b:Person>
            <b:Last>Holton</b:Last>
            <b:Middle>F</b:Middle>
            <b:First>Elwood</b:First>
          </b:Person>
        </b:NameList>
      </b:Author>
    </b:Author>
    <b:RefOrder>7</b:RefOrder>
  </b:Source>
  <b:Source>
    <b:Tag>Mat241</b:Tag>
    <b:SourceType>InternetSite</b:SourceType>
    <b:Guid>{F002FBEA-ADA9-4260-9711-FFD707D2778A}</b:Guid>
    <b:Author>
      <b:Author>
        <b:NameList>
          <b:Person>
            <b:Last>Reeves</b:Last>
            <b:First>Matthew</b:First>
          </b:Person>
        </b:NameList>
      </b:Author>
    </b:Author>
    <b:Title>Lack Of Career Growth May Be The Top Cause For Turnover In 2025</b:Title>
    <b:InternetSiteTitle>Forbes</b:InternetSiteTitle>
    <b:Year>2024</b:Year>
    <b:Month>October</b:Month>
    <b:Day>24 </b:Day>
    <b:URL>https://www.forbes.com/councils/forbeshumanresourcescouncil/2024/10/24/lack-of-career-growth-may-be-the-top-cause-for-turnover-in-2025/</b:URL>
    <b:RefOrder>8</b:RefOrder>
  </b:Source>
  <b:Source>
    <b:Tag>Meh19</b:Tag>
    <b:SourceType>Book</b:SourceType>
    <b:Guid>{DA1F115C-EC98-445D-9557-9EB992168BA7}</b:Guid>
    <b:Title>Job Security and Temporary Employment Contracts Theories and Global Standards</b:Title>
    <b:Year>2019</b:Year>
    <b:Author>
      <b:Author>
        <b:NameList>
          <b:Person>
            <b:Last>Mansour</b:Last>
            <b:Middle>Shabannia</b:Middle>
            <b:First>Mehdi</b:First>
          </b:Person>
          <b:Person>
            <b:Last>Hassan</b:Last>
            <b:Middle>Halili</b:Middle>
            <b:First>Kamal</b:First>
          </b:Person>
        </b:NameList>
      </b:Author>
    </b:Author>
    <b:Publisher>Springer Cham</b:Publisher>
    <b:RefOrder>9</b:RefOrder>
  </b:Source>
  <b:Source>
    <b:Tag>Bal18</b:Tag>
    <b:SourceType>JournalArticle</b:SourceType>
    <b:Guid>{9E82AA92-DD83-423A-8DF2-E6DA1182E021}</b:Guid>
    <b:Title>Always looking for something better? The impact of job insecurity on turnover intentions: Do employables and irreplaceables react differently?</b:Title>
    <b:Year>2018</b:Year>
    <b:JournalName>Economic and Industrial Democracy</b:JournalName>
    <b:Pages>142-159</b:Pages>
    <b:Author>
      <b:Author>
        <b:NameList>
          <b:Person>
            <b:Last>Balz</b:Last>
            <b:First>Anne</b:First>
          </b:Person>
          <b:Person>
            <b:Last>Schuller</b:Last>
            <b:First>Karin </b:First>
          </b:Person>
        </b:NameList>
      </b:Author>
    </b:Author>
    <b:RefOrder>10</b:RefOrder>
  </b:Source>
  <b:Source>
    <b:Tag>Iqb221</b:Tag>
    <b:SourceType>JournalArticle</b:SourceType>
    <b:Guid>{57F068D9-DF25-4E29-BB15-9D01089EEFF8}</b:Guid>
    <b:Title>Effect of Despotic Leadership on Employee Turnover Intention: Mediating Toxic Workplace Environment and Cognitive Distraction in Academic Institutions</b:Title>
    <b:JournalName>Behavioral Science</b:JournalName>
    <b:Year>2022</b:Year>
    <b:Pages>1-23</b:Pages>
    <b:Author>
      <b:Author>
        <b:NameList>
          <b:Person>
            <b:Last>Iqbal</b:Last>
            <b:First>Javed</b:First>
          </b:Person>
          <b:Person>
            <b:Last>Asghar</b:Last>
            <b:Middle>Zaheer</b:Middle>
            <b:First>Muhammad</b:First>
          </b:Person>
          <b:Person>
            <b:Last>Asghar</b:Last>
            <b:First>Ali</b:First>
          </b:Person>
        </b:NameList>
      </b:Author>
    </b:Author>
    <b:RefOrder>11</b:RefOrder>
  </b:Source>
  <b:Source>
    <b:Tag>Sam20</b:Tag>
    <b:SourceType>JournalArticle</b:SourceType>
    <b:Guid>{D03B4089-E6E7-4BD2-80EC-96847CB148C9}</b:Guid>
    <b:Title>Exploring the Relationship between Innovative Work Behavior, Job Anxiety, Workplace Ostracism, and Workplace Incivility: Empirical Evidence from Small and Medium Sized Enterprises (SMEs)</b:Title>
    <b:JournalName>HealthCare</b:JournalName>
    <b:Year>2020</b:Year>
    <b:Pages>1-15</b:Pages>
    <b:Author>
      <b:Author>
        <b:NameList>
          <b:Person>
            <b:Last>Samma</b:Last>
            <b:First>Madehaa</b:First>
          </b:Person>
          <b:Person>
            <b:Last>Zhao</b:Last>
            <b:First>Yan</b:First>
          </b:Person>
          <b:Person>
            <b:Last>Rasool </b:Last>
            <b:Middle>Faiz </b:Middle>
            <b:First>Samma</b:First>
          </b:Person>
        </b:NameList>
      </b:Author>
    </b:Author>
    <b:RefOrder>12</b:RefOrder>
  </b:Source>
  <b:Source>
    <b:Tag>SSa18</b:Tag>
    <b:SourceType>JournalArticle</b:SourceType>
    <b:Guid>{3CAAB022-7860-43AD-9D16-B71B61844B1D}</b:Guid>
    <b:Title>A Study on Training and Development of Employees in a BPO Company</b:Title>
    <b:JournalName>International Journal Of Innovative Research In Technology</b:JournalName>
    <b:Year>2018</b:Year>
    <b:Pages>473-477</b:Pages>
    <b:Author>
      <b:Author>
        <b:NameList>
          <b:Person>
            <b:Last>Sundharavadivel</b:Last>
            <b:First>S.</b:First>
            <b:Middle>Sangeetha &amp; Dr.G.</b:Middle>
          </b:Person>
        </b:NameList>
      </b:Author>
    </b:Author>
    <b:RefOrder>13</b:RefOrder>
  </b:Source>
</b:Sources>
</file>

<file path=customXml/itemProps1.xml><?xml version="1.0" encoding="utf-8"?>
<ds:datastoreItem xmlns:ds="http://schemas.openxmlformats.org/officeDocument/2006/customXml" ds:itemID="{E0CE7510-FEF3-4D24-8231-E30B96BDB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24613</Words>
  <Characters>140298</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Hassan Danial</dc:creator>
  <cp:lastModifiedBy>areeba shabbir</cp:lastModifiedBy>
  <cp:revision>2</cp:revision>
  <cp:lastPrinted>2025-02-25T04:32:00Z</cp:lastPrinted>
  <dcterms:created xsi:type="dcterms:W3CDTF">2025-02-25T00:49:00Z</dcterms:created>
  <dcterms:modified xsi:type="dcterms:W3CDTF">2025-02-25T00:49:00Z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ba0cb17b-fa36-394f-bc74-8c0fe1b74bfa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TemplateDocerSaveRecord">
    <vt:lpwstr>eyJoZGlkIjoiZTQyNTczYTNmN2Q0MWQ0MzVlMzExMDgxMmIzZjYxMDgiLCJ1c2VySWQiOiI0MzA0NDM4MjYifQ==</vt:lpwstr>
  </property>
  <property fmtid="{D5CDD505-2E9C-101B-9397-08002B2CF9AE}" pid="26" name="KSOProductBuildVer">
    <vt:lpwstr>2052-12.1.0.19302</vt:lpwstr>
  </property>
  <property fmtid="{D5CDD505-2E9C-101B-9397-08002B2CF9AE}" pid="27" name="ICV">
    <vt:lpwstr>8B3087590CA248478ADCC4BB321CE9B6_13</vt:lpwstr>
  </property>
</Properties>
</file>